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63AE23">
      <w:pPr>
        <w:rPr>
          <w:rFonts w:hint="default" w:ascii="Times New Roman" w:hAnsi="Times New Roman" w:eastAsia="仿宋_GB2312" w:cs="Times New Roman"/>
          <w:color w:val="auto"/>
          <w:sz w:val="36"/>
          <w:szCs w:val="36"/>
          <w:highlight w:val="none"/>
        </w:rPr>
      </w:pPr>
    </w:p>
    <w:p w14:paraId="7468EA7B">
      <w:pPr>
        <w:rPr>
          <w:rFonts w:hint="default" w:ascii="Times New Roman" w:hAnsi="Times New Roman" w:eastAsia="仿宋_GB2312" w:cs="Times New Roman"/>
          <w:color w:val="auto"/>
          <w:sz w:val="36"/>
          <w:szCs w:val="36"/>
          <w:highlight w:val="none"/>
        </w:rPr>
      </w:pPr>
    </w:p>
    <w:p w14:paraId="381037C2">
      <w:pPr>
        <w:rPr>
          <w:rFonts w:hint="default" w:ascii="Times New Roman" w:hAnsi="Times New Roman" w:eastAsia="仿宋_GB2312" w:cs="Times New Roman"/>
          <w:color w:val="auto"/>
          <w:sz w:val="36"/>
          <w:szCs w:val="36"/>
          <w:highlight w:val="none"/>
        </w:rPr>
      </w:pPr>
    </w:p>
    <w:p w14:paraId="29DB9008">
      <w:pPr>
        <w:rPr>
          <w:rFonts w:hint="default" w:ascii="Times New Roman" w:hAnsi="Times New Roman" w:eastAsia="仿宋_GB2312" w:cs="Times New Roman"/>
          <w:color w:val="auto"/>
          <w:sz w:val="36"/>
          <w:szCs w:val="36"/>
          <w:highlight w:val="none"/>
        </w:rPr>
      </w:pPr>
    </w:p>
    <w:p w14:paraId="1F19F9B9">
      <w:pPr>
        <w:rPr>
          <w:rFonts w:hint="default" w:ascii="Times New Roman" w:hAnsi="Times New Roman" w:eastAsia="仿宋_GB2312" w:cs="Times New Roman"/>
          <w:color w:val="auto"/>
          <w:sz w:val="36"/>
          <w:szCs w:val="36"/>
          <w:highlight w:val="none"/>
        </w:rPr>
      </w:pPr>
    </w:p>
    <w:p w14:paraId="0A3C208C">
      <w:pPr>
        <w:adjustRightInd w:val="0"/>
        <w:snapToGrid w:val="0"/>
        <w:jc w:val="center"/>
        <w:outlineLvl w:val="0"/>
        <w:rPr>
          <w:rFonts w:hint="default" w:ascii="Times New Roman" w:hAnsi="Times New Roman" w:eastAsia="方正小标宋_GBK" w:cs="Times New Roman"/>
          <w:bCs/>
          <w:color w:val="auto"/>
          <w:sz w:val="72"/>
          <w:szCs w:val="72"/>
          <w:highlight w:val="none"/>
        </w:rPr>
      </w:pPr>
      <w:bookmarkStart w:id="0" w:name="_Toc13771"/>
      <w:r>
        <w:rPr>
          <w:rFonts w:hint="default" w:ascii="Times New Roman" w:hAnsi="Times New Roman" w:eastAsia="方正小标宋_GBK" w:cs="Times New Roman"/>
          <w:bCs/>
          <w:color w:val="auto"/>
          <w:sz w:val="72"/>
          <w:szCs w:val="72"/>
          <w:highlight w:val="none"/>
        </w:rPr>
        <w:t>建设项目环境影响报告表</w:t>
      </w:r>
      <w:bookmarkEnd w:id="0"/>
    </w:p>
    <w:p w14:paraId="3A577577">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184E1FB3">
      <w:pPr>
        <w:jc w:val="center"/>
        <w:rPr>
          <w:rFonts w:hint="default" w:ascii="Times New Roman" w:hAnsi="Times New Roman" w:eastAsia="仿宋" w:cs="Times New Roman"/>
          <w:color w:val="auto"/>
          <w:sz w:val="52"/>
          <w:szCs w:val="52"/>
          <w:highlight w:val="none"/>
        </w:rPr>
      </w:pPr>
    </w:p>
    <w:p w14:paraId="7A0511CC">
      <w:pPr>
        <w:jc w:val="center"/>
        <w:rPr>
          <w:rFonts w:hint="default" w:ascii="Times New Roman" w:hAnsi="Times New Roman" w:eastAsia="仿宋" w:cs="Times New Roman"/>
          <w:color w:val="auto"/>
          <w:sz w:val="52"/>
          <w:szCs w:val="52"/>
          <w:highlight w:val="none"/>
        </w:rPr>
      </w:pPr>
    </w:p>
    <w:p w14:paraId="73C2851E">
      <w:pPr>
        <w:ind w:firstLine="1040"/>
        <w:rPr>
          <w:rFonts w:hint="default" w:ascii="Times New Roman" w:hAnsi="Times New Roman" w:eastAsia="仿宋" w:cs="Times New Roman"/>
          <w:color w:val="auto"/>
          <w:sz w:val="44"/>
          <w:szCs w:val="44"/>
          <w:highlight w:val="none"/>
        </w:rPr>
      </w:pPr>
    </w:p>
    <w:p w14:paraId="42CE42FF">
      <w:pPr>
        <w:ind w:firstLine="1040"/>
        <w:rPr>
          <w:rFonts w:hint="default" w:ascii="Times New Roman" w:hAnsi="Times New Roman" w:eastAsia="仿宋" w:cs="Times New Roman"/>
          <w:color w:val="auto"/>
          <w:sz w:val="44"/>
          <w:szCs w:val="44"/>
          <w:highlight w:val="none"/>
        </w:rPr>
      </w:pPr>
    </w:p>
    <w:p w14:paraId="1249CE89">
      <w:pPr>
        <w:ind w:firstLine="1040"/>
        <w:rPr>
          <w:rFonts w:hint="default" w:ascii="Times New Roman" w:hAnsi="Times New Roman" w:eastAsia="仿宋" w:cs="Times New Roman"/>
          <w:color w:val="auto"/>
          <w:sz w:val="44"/>
          <w:szCs w:val="44"/>
          <w:highlight w:val="none"/>
        </w:rPr>
      </w:pPr>
    </w:p>
    <w:p w14:paraId="5297B343">
      <w:pPr>
        <w:ind w:firstLine="1040"/>
        <w:rPr>
          <w:rFonts w:hint="default" w:ascii="Times New Roman" w:hAnsi="Times New Roman" w:eastAsia="仿宋" w:cs="Times New Roman"/>
          <w:color w:val="auto"/>
          <w:sz w:val="44"/>
          <w:szCs w:val="44"/>
          <w:highlight w:val="none"/>
        </w:rPr>
      </w:pPr>
    </w:p>
    <w:p w14:paraId="0E4588DB">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rPr>
        <w:t>青冈县赵董农副产品生产有限公司</w:t>
      </w:r>
      <w:r>
        <w:rPr>
          <w:rFonts w:hint="default" w:ascii="Times New Roman" w:hAnsi="Times New Roman" w:eastAsia="仿宋_GB2312" w:cs="Times New Roman"/>
          <w:color w:val="auto"/>
          <w:sz w:val="36"/>
          <w:szCs w:val="36"/>
          <w:highlight w:val="none"/>
          <w:u w:val="single"/>
          <w:lang w:val="en-US" w:eastAsia="zh-CN"/>
        </w:rPr>
        <w:t>建设项目</w:t>
      </w:r>
    </w:p>
    <w:p w14:paraId="743A54CC">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rPr>
        <w:t>青冈县赵董农副产品生产有限公司</w:t>
      </w:r>
      <w:r>
        <w:rPr>
          <w:rFonts w:hint="default" w:ascii="Times New Roman" w:hAnsi="Times New Roman" w:eastAsia="仿宋_GB2312" w:cs="Times New Roman"/>
          <w:color w:val="auto"/>
          <w:sz w:val="36"/>
          <w:szCs w:val="36"/>
          <w:highlight w:val="none"/>
          <w:u w:val="single"/>
          <w:lang w:val="en-US" w:eastAsia="zh-CN"/>
        </w:rPr>
        <w:t xml:space="preserve">   </w:t>
      </w:r>
    </w:p>
    <w:p w14:paraId="3E195778">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20</w:t>
      </w:r>
      <w:r>
        <w:rPr>
          <w:rFonts w:hint="default" w:ascii="Times New Roman" w:hAnsi="Times New Roman" w:eastAsia="仿宋_GB2312" w:cs="Times New Roman"/>
          <w:color w:val="auto"/>
          <w:sz w:val="36"/>
          <w:szCs w:val="36"/>
          <w:highlight w:val="none"/>
          <w:u w:val="single"/>
          <w:lang w:val="en-US" w:eastAsia="zh-CN"/>
        </w:rPr>
        <w:t>25</w:t>
      </w:r>
      <w:r>
        <w:rPr>
          <w:rFonts w:hint="default" w:ascii="Times New Roman" w:hAnsi="Times New Roman" w:eastAsia="仿宋_GB2312" w:cs="Times New Roman"/>
          <w:color w:val="auto"/>
          <w:sz w:val="36"/>
          <w:szCs w:val="36"/>
          <w:highlight w:val="none"/>
          <w:u w:val="single"/>
        </w:rPr>
        <w:t>年</w:t>
      </w:r>
      <w:r>
        <w:rPr>
          <w:rFonts w:hint="default" w:ascii="Times New Roman" w:hAnsi="Times New Roman" w:eastAsia="仿宋_GB2312" w:cs="Times New Roman"/>
          <w:color w:val="auto"/>
          <w:sz w:val="36"/>
          <w:szCs w:val="36"/>
          <w:highlight w:val="none"/>
          <w:u w:val="single"/>
          <w:lang w:val="en-US" w:eastAsia="zh-CN"/>
        </w:rPr>
        <w:t>08</w:t>
      </w:r>
      <w:r>
        <w:rPr>
          <w:rFonts w:hint="default" w:ascii="Times New Roman" w:hAnsi="Times New Roman" w:eastAsia="仿宋_GB2312" w:cs="Times New Roman"/>
          <w:color w:val="auto"/>
          <w:sz w:val="36"/>
          <w:szCs w:val="36"/>
          <w:highlight w:val="none"/>
          <w:u w:val="single"/>
        </w:rPr>
        <w:t xml:space="preserve">月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14:paraId="068D3EDB">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bookmarkStart w:id="1" w:name="_Hlk57884087"/>
    </w:p>
    <w:p w14:paraId="57CD834D">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20811AB2">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bookmarkEnd w:id="1"/>
    <w:p w14:paraId="0C805102">
      <w:pPr>
        <w:adjustRightInd w:val="0"/>
        <w:snapToGrid w:val="0"/>
        <w:spacing w:line="288" w:lineRule="auto"/>
        <w:jc w:val="center"/>
        <w:rPr>
          <w:rFonts w:hint="default" w:ascii="Times New Roman" w:hAnsi="Times New Roman" w:cs="Times New Roman"/>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highlight w:val="none"/>
        </w:rPr>
        <w:t>中华人民共和国生态环境部</w:t>
      </w:r>
    </w:p>
    <w:p w14:paraId="0A6C5768">
      <w:pPr>
        <w:bidi w:val="0"/>
        <w:jc w:val="center"/>
        <w:rPr>
          <w:rFonts w:hint="default" w:ascii="Times New Roman" w:hAnsi="Times New Roman" w:eastAsia="宋体" w:cs="Times New Roman"/>
          <w:b/>
          <w:bCs/>
          <w:sz w:val="32"/>
          <w:szCs w:val="32"/>
          <w:highlight w:val="none"/>
          <w:lang w:eastAsia="zh-CN"/>
        </w:rPr>
      </w:pPr>
      <w:r>
        <w:rPr>
          <w:rFonts w:hint="default" w:ascii="Times New Roman" w:hAnsi="Times New Roman" w:eastAsia="宋体" w:cs="Times New Roman"/>
          <w:b/>
          <w:bCs/>
          <w:sz w:val="32"/>
          <w:szCs w:val="32"/>
          <w:highlight w:val="none"/>
          <w:lang w:eastAsia="zh-CN"/>
        </w:rPr>
        <w:drawing>
          <wp:inline distT="0" distB="0" distL="114300" distR="114300">
            <wp:extent cx="5615305" cy="7945755"/>
            <wp:effectExtent l="0" t="0" r="4445" b="17145"/>
            <wp:docPr id="47" name="图片 47" descr="青冈县赵董农副产品公司终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青冈县赵董农副产品公司终版_01"/>
                    <pic:cNvPicPr>
                      <a:picLocks noChangeAspect="1"/>
                    </pic:cNvPicPr>
                  </pic:nvPicPr>
                  <pic:blipFill>
                    <a:blip r:embed="rId8"/>
                    <a:stretch>
                      <a:fillRect/>
                    </a:stretch>
                  </pic:blipFill>
                  <pic:spPr>
                    <a:xfrm>
                      <a:off x="0" y="0"/>
                      <a:ext cx="5615305" cy="7945755"/>
                    </a:xfrm>
                    <a:prstGeom prst="rect">
                      <a:avLst/>
                    </a:prstGeom>
                  </pic:spPr>
                </pic:pic>
              </a:graphicData>
            </a:graphic>
          </wp:inline>
        </w:drawing>
      </w:r>
    </w:p>
    <w:p w14:paraId="5372DA07">
      <w:pPr>
        <w:rPr>
          <w:rFonts w:hint="default" w:ascii="Times New Roman" w:hAnsi="Times New Roman" w:cs="Times New Roman"/>
          <w:b/>
          <w:bCs/>
          <w:sz w:val="32"/>
          <w:szCs w:val="32"/>
          <w:highlight w:val="none"/>
        </w:rPr>
      </w:pPr>
      <w:r>
        <w:rPr>
          <w:rFonts w:hint="default" w:ascii="Times New Roman" w:hAnsi="Times New Roman" w:cs="Times New Roman"/>
          <w:b/>
          <w:bCs/>
          <w:sz w:val="32"/>
          <w:szCs w:val="32"/>
          <w:highlight w:val="none"/>
        </w:rPr>
        <w:br w:type="page"/>
      </w:r>
    </w:p>
    <w:p w14:paraId="0FC29641">
      <w:pPr>
        <w:bidi w:val="0"/>
        <w:jc w:val="center"/>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rPr>
        <w:t>目</w:t>
      </w: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sz w:val="32"/>
          <w:szCs w:val="32"/>
          <w:highlight w:val="none"/>
        </w:rPr>
        <w:t>录</w:t>
      </w:r>
    </w:p>
    <w:p w14:paraId="599AE5C0">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14:paraId="4F1020A3">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color w:val="0000FF"/>
          <w:sz w:val="24"/>
          <w:szCs w:val="24"/>
          <w:highlight w:val="none"/>
          <w:lang w:eastAsia="zh-CN"/>
        </w:rPr>
        <w:fldChar w:fldCharType="begin"/>
      </w:r>
      <w:r>
        <w:rPr>
          <w:rFonts w:hint="default" w:ascii="Times New Roman" w:hAnsi="Times New Roman" w:eastAsia="宋体" w:cs="Times New Roman"/>
          <w:color w:val="0000FF"/>
          <w:sz w:val="24"/>
          <w:szCs w:val="24"/>
          <w:highlight w:val="none"/>
          <w:lang w:eastAsia="zh-CN"/>
        </w:rPr>
        <w:instrText xml:space="preserve">TOC \o "1-1" \h \u </w:instrText>
      </w:r>
      <w:r>
        <w:rPr>
          <w:rFonts w:hint="default" w:ascii="Times New Roman" w:hAnsi="Times New Roman" w:eastAsia="宋体" w:cs="Times New Roman"/>
          <w:color w:val="0000FF"/>
          <w:sz w:val="24"/>
          <w:szCs w:val="24"/>
          <w:highlight w:val="none"/>
          <w:lang w:eastAsia="zh-CN"/>
        </w:rPr>
        <w:fldChar w:fldCharType="separate"/>
      </w: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_Toc9891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0"/>
          <w:highlight w:val="none"/>
        </w:rPr>
        <w:t>一、建设项目基本情况</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_Toc9891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1</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3DB3FDB7">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_Toc1431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0"/>
          <w:highlight w:val="none"/>
        </w:rPr>
        <w:t>二、建设项目工程分析</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_Toc1431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11</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28BE0F66">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_Toc1297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0"/>
          <w:highlight w:val="none"/>
        </w:rPr>
        <w:t>三、区域环境质量现状、环境保护目标及评价标准</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_Toc1297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21</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75929570">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_Toc11490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0"/>
          <w:highlight w:val="none"/>
        </w:rPr>
        <w:t>四、主要环境影响和保护措施</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_Toc11490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25</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2054B999">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_Toc1880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0"/>
          <w:highlight w:val="none"/>
        </w:rPr>
        <w:t>五、环境保护措施监督检查清单</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_Toc1880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35</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57EB5647">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_Toc8107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0"/>
          <w:highlight w:val="none"/>
        </w:rPr>
        <w:t>六、结论</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_Toc8107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37</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60693A92">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_Toc1996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snapToGrid w:val="0"/>
          <w:szCs w:val="38"/>
          <w:highlight w:val="none"/>
        </w:rPr>
        <w:t>建设项目污染物排放量汇总表</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_Toc1996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38</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1DC6ED06">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_Toc17788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附图1 地理位置图</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_Toc17788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39</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1FD69AA0">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_Toc24273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 xml:space="preserve">附图2 </w:t>
      </w:r>
      <w:r>
        <w:rPr>
          <w:rFonts w:hint="default" w:ascii="Times New Roman" w:hAnsi="Times New Roman" w:eastAsia="宋体" w:cs="Times New Roman"/>
          <w:b w:val="0"/>
          <w:bCs/>
          <w:highlight w:val="none"/>
          <w:lang w:val="en-US" w:eastAsia="zh-CN"/>
        </w:rPr>
        <w:t>厂区总</w:t>
      </w:r>
      <w:r>
        <w:rPr>
          <w:rFonts w:hint="default" w:ascii="Times New Roman" w:hAnsi="Times New Roman" w:eastAsia="宋体" w:cs="Times New Roman"/>
          <w:b w:val="0"/>
          <w:bCs/>
          <w:highlight w:val="none"/>
        </w:rPr>
        <w:t>平面布置图</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_Toc24273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40</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72DE0421">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_Toc27222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附图</w:t>
      </w:r>
      <w:r>
        <w:rPr>
          <w:rFonts w:hint="default" w:ascii="Times New Roman" w:hAnsi="Times New Roman" w:eastAsia="宋体" w:cs="Times New Roman"/>
          <w:b w:val="0"/>
          <w:bCs/>
          <w:highlight w:val="none"/>
          <w:lang w:val="en-US" w:eastAsia="zh-CN"/>
        </w:rPr>
        <w:t>3</w:t>
      </w:r>
      <w:r>
        <w:rPr>
          <w:rFonts w:hint="default" w:ascii="Times New Roman" w:hAnsi="Times New Roman" w:eastAsia="宋体" w:cs="Times New Roman"/>
          <w:b w:val="0"/>
          <w:bCs/>
          <w:highlight w:val="none"/>
        </w:rPr>
        <w:t xml:space="preserve"> </w:t>
      </w:r>
      <w:r>
        <w:rPr>
          <w:rFonts w:hint="default" w:ascii="Times New Roman" w:hAnsi="Times New Roman" w:eastAsia="宋体" w:cs="Times New Roman"/>
          <w:b w:val="0"/>
          <w:bCs/>
          <w:highlight w:val="none"/>
          <w:lang w:eastAsia="zh-CN"/>
        </w:rPr>
        <w:t>环境保护目标</w:t>
      </w:r>
      <w:r>
        <w:rPr>
          <w:rFonts w:hint="default" w:ascii="Times New Roman" w:hAnsi="Times New Roman" w:eastAsia="宋体" w:cs="Times New Roman"/>
          <w:b w:val="0"/>
          <w:bCs/>
          <w:highlight w:val="none"/>
        </w:rPr>
        <w:t>图</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_Toc27222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41</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78DD9E39">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_Toc5419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附图</w:t>
      </w:r>
      <w:r>
        <w:rPr>
          <w:rFonts w:hint="default" w:ascii="Times New Roman" w:hAnsi="Times New Roman" w:eastAsia="宋体" w:cs="Times New Roman"/>
          <w:b w:val="0"/>
          <w:bCs/>
          <w:highlight w:val="none"/>
          <w:lang w:val="en-US" w:eastAsia="zh-CN"/>
        </w:rPr>
        <w:t>4</w:t>
      </w:r>
      <w:r>
        <w:rPr>
          <w:rFonts w:hint="default" w:ascii="Times New Roman" w:hAnsi="Times New Roman" w:eastAsia="宋体" w:cs="Times New Roman"/>
          <w:b w:val="0"/>
          <w:bCs/>
          <w:highlight w:val="none"/>
        </w:rPr>
        <w:t xml:space="preserve"> </w:t>
      </w:r>
      <w:r>
        <w:rPr>
          <w:rFonts w:hint="default" w:ascii="Times New Roman" w:hAnsi="Times New Roman" w:eastAsia="宋体" w:cs="Times New Roman"/>
          <w:b w:val="0"/>
          <w:bCs/>
          <w:highlight w:val="none"/>
          <w:lang w:eastAsia="zh-CN"/>
        </w:rPr>
        <w:t>监测点位</w:t>
      </w:r>
      <w:r>
        <w:rPr>
          <w:rFonts w:hint="default" w:ascii="Times New Roman" w:hAnsi="Times New Roman" w:eastAsia="宋体" w:cs="Times New Roman"/>
          <w:b w:val="0"/>
          <w:bCs/>
          <w:highlight w:val="none"/>
        </w:rPr>
        <w:t>图</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_Toc5419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42</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096C4E44">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_Toc28848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附件1</w:t>
      </w:r>
      <w:r>
        <w:rPr>
          <w:rFonts w:hint="default" w:ascii="Times New Roman" w:hAnsi="Times New Roman" w:eastAsia="宋体" w:cs="Times New Roman"/>
          <w:b w:val="0"/>
          <w:bCs/>
          <w:highlight w:val="none"/>
          <w:lang w:val="en-US" w:eastAsia="zh-CN"/>
        </w:rPr>
        <w:t xml:space="preserve"> </w:t>
      </w:r>
      <w:r>
        <w:rPr>
          <w:rFonts w:hint="default" w:ascii="Times New Roman" w:hAnsi="Times New Roman" w:eastAsia="宋体" w:cs="Times New Roman"/>
          <w:b w:val="0"/>
          <w:bCs/>
          <w:highlight w:val="none"/>
        </w:rPr>
        <w:t>营业执照</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_Toc28848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43</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42BA8F51">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_Toc15743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附件</w:t>
      </w:r>
      <w:r>
        <w:rPr>
          <w:rFonts w:hint="default" w:ascii="Times New Roman" w:hAnsi="Times New Roman" w:eastAsia="宋体" w:cs="Times New Roman"/>
          <w:b w:val="0"/>
          <w:bCs/>
          <w:highlight w:val="none"/>
          <w:lang w:val="en-US" w:eastAsia="zh-CN"/>
        </w:rPr>
        <w:t>2</w:t>
      </w:r>
      <w:r>
        <w:rPr>
          <w:rFonts w:hint="default" w:ascii="Times New Roman" w:hAnsi="Times New Roman" w:eastAsia="宋体" w:cs="Times New Roman"/>
          <w:b w:val="0"/>
          <w:bCs/>
          <w:highlight w:val="none"/>
        </w:rPr>
        <w:t xml:space="preserve"> 生物质成型颗粒分析报告</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_Toc15743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44</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578ECB87">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_Toc7850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附件</w:t>
      </w:r>
      <w:r>
        <w:rPr>
          <w:rFonts w:hint="default" w:ascii="Times New Roman" w:hAnsi="Times New Roman" w:eastAsia="宋体" w:cs="Times New Roman"/>
          <w:b w:val="0"/>
          <w:bCs/>
          <w:highlight w:val="none"/>
          <w:lang w:val="en-US" w:eastAsia="zh-CN"/>
        </w:rPr>
        <w:t xml:space="preserve">3 </w:t>
      </w:r>
      <w:r>
        <w:rPr>
          <w:rFonts w:hint="default" w:ascii="Times New Roman" w:hAnsi="Times New Roman" w:eastAsia="宋体" w:cs="Times New Roman"/>
          <w:b w:val="0"/>
          <w:bCs/>
          <w:highlight w:val="none"/>
          <w:lang w:eastAsia="zh-CN"/>
        </w:rPr>
        <w:t>《生态环境分区管控分析报告》</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_Toc7850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45</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7D87067E">
      <w:pPr>
        <w:pStyle w:val="7"/>
        <w:tabs>
          <w:tab w:val="right" w:leader="dot" w:pos="8844"/>
        </w:tabs>
        <w:rPr>
          <w:rFonts w:hint="default" w:ascii="Times New Roman" w:hAnsi="Times New Roman" w:eastAsia="宋体" w:cs="Times New Roman"/>
          <w:b w:val="0"/>
          <w:bCs/>
          <w:highlight w:val="none"/>
        </w:rPr>
      </w:pPr>
      <w:r>
        <w:rPr>
          <w:rFonts w:hint="default" w:ascii="Times New Roman" w:hAnsi="Times New Roman" w:eastAsia="宋体" w:cs="Times New Roman"/>
          <w:b w:val="0"/>
          <w:bCs/>
          <w:color w:val="0000FF"/>
          <w:szCs w:val="24"/>
          <w:highlight w:val="none"/>
          <w:lang w:eastAsia="zh-CN"/>
        </w:rPr>
        <w:fldChar w:fldCharType="begin"/>
      </w:r>
      <w:r>
        <w:rPr>
          <w:rFonts w:hint="default" w:ascii="Times New Roman" w:hAnsi="Times New Roman" w:eastAsia="宋体" w:cs="Times New Roman"/>
          <w:b w:val="0"/>
          <w:bCs/>
          <w:szCs w:val="24"/>
          <w:highlight w:val="none"/>
          <w:lang w:eastAsia="zh-CN"/>
        </w:rPr>
        <w:instrText xml:space="preserve"> HYPERLINK \l _Toc13140 </w:instrText>
      </w:r>
      <w:r>
        <w:rPr>
          <w:rFonts w:hint="default" w:ascii="Times New Roman" w:hAnsi="Times New Roman" w:eastAsia="宋体" w:cs="Times New Roman"/>
          <w:b w:val="0"/>
          <w:bCs/>
          <w:szCs w:val="24"/>
          <w:highlight w:val="none"/>
          <w:lang w:eastAsia="zh-CN"/>
        </w:rPr>
        <w:fldChar w:fldCharType="separate"/>
      </w:r>
      <w:r>
        <w:rPr>
          <w:rFonts w:hint="default" w:ascii="Times New Roman" w:hAnsi="Times New Roman" w:eastAsia="宋体" w:cs="Times New Roman"/>
          <w:b w:val="0"/>
          <w:bCs/>
          <w:highlight w:val="none"/>
        </w:rPr>
        <w:t>附件</w:t>
      </w:r>
      <w:r>
        <w:rPr>
          <w:rFonts w:hint="default" w:ascii="Times New Roman" w:hAnsi="Times New Roman" w:eastAsia="宋体" w:cs="Times New Roman"/>
          <w:b w:val="0"/>
          <w:bCs/>
          <w:highlight w:val="none"/>
          <w:lang w:val="en-US" w:eastAsia="zh-CN"/>
        </w:rPr>
        <w:t>4 关于核定总量计算说明</w:t>
      </w:r>
      <w:r>
        <w:rPr>
          <w:rFonts w:hint="default" w:ascii="Times New Roman" w:hAnsi="Times New Roman" w:eastAsia="宋体" w:cs="Times New Roman"/>
          <w:b w:val="0"/>
          <w:bCs/>
          <w:highlight w:val="none"/>
        </w:rPr>
        <w:tab/>
      </w:r>
      <w:r>
        <w:rPr>
          <w:rFonts w:hint="default" w:ascii="Times New Roman" w:hAnsi="Times New Roman" w:eastAsia="宋体" w:cs="Times New Roman"/>
          <w:b w:val="0"/>
          <w:bCs/>
          <w:highlight w:val="none"/>
        </w:rPr>
        <w:fldChar w:fldCharType="begin"/>
      </w:r>
      <w:r>
        <w:rPr>
          <w:rFonts w:hint="default" w:ascii="Times New Roman" w:hAnsi="Times New Roman" w:eastAsia="宋体" w:cs="Times New Roman"/>
          <w:b w:val="0"/>
          <w:bCs/>
          <w:highlight w:val="none"/>
        </w:rPr>
        <w:instrText xml:space="preserve"> PAGEREF _Toc13140 \h </w:instrText>
      </w:r>
      <w:r>
        <w:rPr>
          <w:rFonts w:hint="default" w:ascii="Times New Roman" w:hAnsi="Times New Roman" w:eastAsia="宋体" w:cs="Times New Roman"/>
          <w:b w:val="0"/>
          <w:bCs/>
          <w:highlight w:val="none"/>
        </w:rPr>
        <w:fldChar w:fldCharType="separate"/>
      </w:r>
      <w:r>
        <w:rPr>
          <w:rFonts w:hint="default" w:ascii="Times New Roman" w:hAnsi="Times New Roman" w:eastAsia="宋体" w:cs="Times New Roman"/>
          <w:b w:val="0"/>
          <w:bCs/>
          <w:highlight w:val="none"/>
        </w:rPr>
        <w:t>55</w:t>
      </w:r>
      <w:r>
        <w:rPr>
          <w:rFonts w:hint="default" w:ascii="Times New Roman" w:hAnsi="Times New Roman" w:eastAsia="宋体" w:cs="Times New Roman"/>
          <w:b w:val="0"/>
          <w:bCs/>
          <w:highlight w:val="none"/>
        </w:rPr>
        <w:fldChar w:fldCharType="end"/>
      </w:r>
      <w:r>
        <w:rPr>
          <w:rFonts w:hint="default" w:ascii="Times New Roman" w:hAnsi="Times New Roman" w:eastAsia="宋体" w:cs="Times New Roman"/>
          <w:b w:val="0"/>
          <w:bCs/>
          <w:color w:val="0000FF"/>
          <w:szCs w:val="24"/>
          <w:highlight w:val="none"/>
          <w:lang w:eastAsia="zh-CN"/>
        </w:rPr>
        <w:fldChar w:fldCharType="end"/>
      </w:r>
    </w:p>
    <w:p w14:paraId="0A42F402">
      <w:pPr>
        <w:pStyle w:val="7"/>
        <w:tabs>
          <w:tab w:val="right" w:leader="dot" w:pos="8844"/>
        </w:tabs>
        <w:rPr>
          <w:rFonts w:hint="default" w:ascii="Times New Roman" w:hAnsi="Times New Roman" w:eastAsia="宋体" w:cs="Times New Roman"/>
          <w:b w:val="0"/>
          <w:bCs/>
          <w:color w:val="auto"/>
          <w:szCs w:val="24"/>
          <w:highlight w:val="none"/>
          <w:lang w:eastAsia="zh-CN"/>
        </w:rPr>
      </w:pP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HYPERLINK \l _Toc24581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附件</w:t>
      </w:r>
      <w:r>
        <w:rPr>
          <w:rFonts w:hint="default" w:ascii="Times New Roman" w:hAnsi="Times New Roman" w:eastAsia="宋体" w:cs="Times New Roman"/>
          <w:b w:val="0"/>
          <w:bCs/>
          <w:color w:val="auto"/>
          <w:szCs w:val="24"/>
          <w:highlight w:val="none"/>
          <w:lang w:val="en-US" w:eastAsia="zh-CN"/>
        </w:rPr>
        <w:t>5 类比项目</w:t>
      </w:r>
      <w:r>
        <w:rPr>
          <w:rFonts w:hint="default" w:ascii="Times New Roman" w:hAnsi="Times New Roman" w:eastAsia="宋体" w:cs="Times New Roman"/>
          <w:b w:val="0"/>
          <w:bCs/>
          <w:color w:val="auto"/>
          <w:szCs w:val="24"/>
          <w:highlight w:val="none"/>
          <w:lang w:eastAsia="zh-CN"/>
        </w:rPr>
        <w:t>验收专家意见</w:t>
      </w:r>
      <w:r>
        <w:rPr>
          <w:rFonts w:hint="default" w:ascii="Times New Roman" w:hAnsi="Times New Roman" w:eastAsia="宋体" w:cs="Times New Roman"/>
          <w:b w:val="0"/>
          <w:bCs/>
          <w:color w:val="auto"/>
          <w:szCs w:val="24"/>
          <w:highlight w:val="none"/>
          <w:lang w:eastAsia="zh-CN"/>
        </w:rPr>
        <w:tab/>
      </w: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PAGEREF _Toc24581 \h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56</w:t>
      </w:r>
      <w:r>
        <w:rPr>
          <w:rFonts w:hint="default" w:ascii="Times New Roman" w:hAnsi="Times New Roman" w:eastAsia="宋体" w:cs="Times New Roman"/>
          <w:b w:val="0"/>
          <w:bCs/>
          <w:color w:val="auto"/>
          <w:szCs w:val="24"/>
          <w:highlight w:val="none"/>
          <w:lang w:eastAsia="zh-CN"/>
        </w:rPr>
        <w:fldChar w:fldCharType="end"/>
      </w:r>
      <w:r>
        <w:rPr>
          <w:rFonts w:hint="default" w:ascii="Times New Roman" w:hAnsi="Times New Roman" w:eastAsia="宋体" w:cs="Times New Roman"/>
          <w:b w:val="0"/>
          <w:bCs/>
          <w:color w:val="auto"/>
          <w:szCs w:val="24"/>
          <w:highlight w:val="none"/>
          <w:lang w:eastAsia="zh-CN"/>
        </w:rPr>
        <w:fldChar w:fldCharType="end"/>
      </w:r>
    </w:p>
    <w:p w14:paraId="3F9D2CA5">
      <w:pPr>
        <w:pStyle w:val="7"/>
        <w:tabs>
          <w:tab w:val="right" w:leader="dot" w:pos="8844"/>
        </w:tabs>
        <w:rPr>
          <w:rFonts w:hint="default" w:ascii="Times New Roman" w:hAnsi="Times New Roman" w:eastAsia="宋体" w:cs="Times New Roman"/>
          <w:b w:val="0"/>
          <w:bCs/>
          <w:color w:val="auto"/>
          <w:szCs w:val="24"/>
          <w:highlight w:val="none"/>
          <w:lang w:eastAsia="zh-CN"/>
        </w:rPr>
      </w:pP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HYPERLINK \l _Toc8276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附件</w:t>
      </w:r>
      <w:r>
        <w:rPr>
          <w:rFonts w:hint="default" w:ascii="Times New Roman" w:hAnsi="Times New Roman" w:eastAsia="宋体" w:cs="Times New Roman"/>
          <w:b w:val="0"/>
          <w:bCs/>
          <w:color w:val="auto"/>
          <w:szCs w:val="24"/>
          <w:highlight w:val="none"/>
          <w:lang w:val="en-US" w:eastAsia="zh-CN"/>
        </w:rPr>
        <w:t>6 土地证</w:t>
      </w:r>
      <w:r>
        <w:rPr>
          <w:rFonts w:hint="default" w:ascii="Times New Roman" w:hAnsi="Times New Roman" w:eastAsia="宋体" w:cs="Times New Roman"/>
          <w:b w:val="0"/>
          <w:bCs/>
          <w:color w:val="auto"/>
          <w:szCs w:val="24"/>
          <w:highlight w:val="none"/>
          <w:lang w:eastAsia="zh-CN"/>
        </w:rPr>
        <w:tab/>
      </w: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PAGEREF _Toc8276 \h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61</w:t>
      </w:r>
      <w:r>
        <w:rPr>
          <w:rFonts w:hint="default" w:ascii="Times New Roman" w:hAnsi="Times New Roman" w:eastAsia="宋体" w:cs="Times New Roman"/>
          <w:b w:val="0"/>
          <w:bCs/>
          <w:color w:val="auto"/>
          <w:szCs w:val="24"/>
          <w:highlight w:val="none"/>
          <w:lang w:eastAsia="zh-CN"/>
        </w:rPr>
        <w:fldChar w:fldCharType="end"/>
      </w:r>
      <w:r>
        <w:rPr>
          <w:rFonts w:hint="default" w:ascii="Times New Roman" w:hAnsi="Times New Roman" w:eastAsia="宋体" w:cs="Times New Roman"/>
          <w:b w:val="0"/>
          <w:bCs/>
          <w:color w:val="auto"/>
          <w:szCs w:val="24"/>
          <w:highlight w:val="none"/>
          <w:lang w:eastAsia="zh-CN"/>
        </w:rPr>
        <w:fldChar w:fldCharType="end"/>
      </w:r>
    </w:p>
    <w:p w14:paraId="1A633327">
      <w:pPr>
        <w:pStyle w:val="7"/>
        <w:tabs>
          <w:tab w:val="right" w:leader="dot" w:pos="8844"/>
        </w:tabs>
        <w:rPr>
          <w:rFonts w:hint="default" w:ascii="Times New Roman" w:hAnsi="Times New Roman" w:eastAsia="宋体" w:cs="Times New Roman"/>
          <w:b w:val="0"/>
          <w:bCs/>
          <w:color w:val="auto"/>
          <w:szCs w:val="24"/>
          <w:highlight w:val="none"/>
          <w:lang w:eastAsia="zh-CN"/>
        </w:rPr>
      </w:pP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HYPERLINK \l _Toc14574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附件</w:t>
      </w:r>
      <w:r>
        <w:rPr>
          <w:rFonts w:hint="default" w:ascii="Times New Roman" w:hAnsi="Times New Roman" w:eastAsia="宋体" w:cs="Times New Roman"/>
          <w:b w:val="0"/>
          <w:bCs/>
          <w:color w:val="auto"/>
          <w:szCs w:val="24"/>
          <w:highlight w:val="none"/>
          <w:lang w:val="en-US" w:eastAsia="zh-CN"/>
        </w:rPr>
        <w:t>7 租赁协议</w:t>
      </w:r>
      <w:r>
        <w:rPr>
          <w:rFonts w:hint="default" w:ascii="Times New Roman" w:hAnsi="Times New Roman" w:eastAsia="宋体" w:cs="Times New Roman"/>
          <w:b w:val="0"/>
          <w:bCs/>
          <w:color w:val="auto"/>
          <w:szCs w:val="24"/>
          <w:highlight w:val="none"/>
          <w:lang w:eastAsia="zh-CN"/>
        </w:rPr>
        <w:tab/>
      </w: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PAGEREF _Toc14574 \h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65</w:t>
      </w:r>
      <w:r>
        <w:rPr>
          <w:rFonts w:hint="default" w:ascii="Times New Roman" w:hAnsi="Times New Roman" w:eastAsia="宋体" w:cs="Times New Roman"/>
          <w:b w:val="0"/>
          <w:bCs/>
          <w:color w:val="auto"/>
          <w:szCs w:val="24"/>
          <w:highlight w:val="none"/>
          <w:lang w:eastAsia="zh-CN"/>
        </w:rPr>
        <w:fldChar w:fldCharType="end"/>
      </w:r>
      <w:r>
        <w:rPr>
          <w:rFonts w:hint="default" w:ascii="Times New Roman" w:hAnsi="Times New Roman" w:eastAsia="宋体" w:cs="Times New Roman"/>
          <w:b w:val="0"/>
          <w:bCs/>
          <w:color w:val="auto"/>
          <w:szCs w:val="24"/>
          <w:highlight w:val="none"/>
          <w:lang w:eastAsia="zh-CN"/>
        </w:rPr>
        <w:fldChar w:fldCharType="end"/>
      </w:r>
    </w:p>
    <w:p w14:paraId="27BF7ACF">
      <w:pPr>
        <w:pStyle w:val="7"/>
        <w:tabs>
          <w:tab w:val="right" w:leader="dot" w:pos="8844"/>
        </w:tabs>
        <w:rPr>
          <w:rFonts w:hint="default" w:ascii="Times New Roman" w:hAnsi="Times New Roman" w:eastAsia="宋体" w:cs="Times New Roman"/>
          <w:b w:val="0"/>
          <w:bCs/>
          <w:color w:val="auto"/>
          <w:szCs w:val="24"/>
          <w:highlight w:val="none"/>
          <w:lang w:eastAsia="zh-CN"/>
        </w:rPr>
      </w:pP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HYPERLINK \l _Toc7296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附件</w:t>
      </w:r>
      <w:r>
        <w:rPr>
          <w:rFonts w:hint="default" w:ascii="Times New Roman" w:hAnsi="Times New Roman" w:eastAsia="宋体" w:cs="Times New Roman"/>
          <w:b w:val="0"/>
          <w:bCs/>
          <w:color w:val="auto"/>
          <w:szCs w:val="24"/>
          <w:highlight w:val="none"/>
          <w:lang w:val="en-US" w:eastAsia="zh-CN"/>
        </w:rPr>
        <w:t>8检测报告</w:t>
      </w:r>
      <w:r>
        <w:rPr>
          <w:rFonts w:hint="default" w:ascii="Times New Roman" w:hAnsi="Times New Roman" w:eastAsia="宋体" w:cs="Times New Roman"/>
          <w:b w:val="0"/>
          <w:bCs/>
          <w:color w:val="auto"/>
          <w:szCs w:val="24"/>
          <w:highlight w:val="none"/>
          <w:lang w:eastAsia="zh-CN"/>
        </w:rPr>
        <w:tab/>
      </w: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PAGEREF _Toc7296 \h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6</w:t>
      </w:r>
      <w:r>
        <w:rPr>
          <w:rFonts w:hint="default" w:ascii="Times New Roman" w:hAnsi="Times New Roman" w:eastAsia="宋体" w:cs="Times New Roman"/>
          <w:b w:val="0"/>
          <w:bCs/>
          <w:color w:val="auto"/>
          <w:szCs w:val="24"/>
          <w:highlight w:val="none"/>
          <w:lang w:val="en-US" w:eastAsia="zh-CN"/>
        </w:rPr>
        <w:t>6</w:t>
      </w:r>
      <w:r>
        <w:rPr>
          <w:rFonts w:hint="default" w:ascii="Times New Roman" w:hAnsi="Times New Roman" w:eastAsia="宋体" w:cs="Times New Roman"/>
          <w:b w:val="0"/>
          <w:bCs/>
          <w:color w:val="auto"/>
          <w:szCs w:val="24"/>
          <w:highlight w:val="none"/>
          <w:lang w:eastAsia="zh-CN"/>
        </w:rPr>
        <w:fldChar w:fldCharType="end"/>
      </w:r>
      <w:r>
        <w:rPr>
          <w:rFonts w:hint="default" w:ascii="Times New Roman" w:hAnsi="Times New Roman" w:eastAsia="宋体" w:cs="Times New Roman"/>
          <w:b w:val="0"/>
          <w:bCs/>
          <w:color w:val="auto"/>
          <w:szCs w:val="24"/>
          <w:highlight w:val="none"/>
          <w:lang w:eastAsia="zh-CN"/>
        </w:rPr>
        <w:fldChar w:fldCharType="end"/>
      </w:r>
    </w:p>
    <w:p w14:paraId="0D78B2B8">
      <w:pPr>
        <w:pStyle w:val="7"/>
        <w:tabs>
          <w:tab w:val="right" w:leader="dot" w:pos="8844"/>
        </w:tabs>
        <w:rPr>
          <w:rFonts w:hint="default" w:ascii="Times New Roman" w:hAnsi="Times New Roman" w:eastAsia="宋体" w:cs="Times New Roman"/>
          <w:b w:val="0"/>
          <w:bCs/>
          <w:color w:val="auto"/>
          <w:szCs w:val="24"/>
          <w:highlight w:val="none"/>
          <w:lang w:eastAsia="zh-CN"/>
        </w:rPr>
      </w:pP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HYPERLINK \l _Toc31707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附件</w:t>
      </w:r>
      <w:r>
        <w:rPr>
          <w:rFonts w:hint="default" w:ascii="Times New Roman" w:hAnsi="Times New Roman" w:eastAsia="宋体" w:cs="Times New Roman"/>
          <w:b w:val="0"/>
          <w:bCs/>
          <w:color w:val="auto"/>
          <w:szCs w:val="24"/>
          <w:highlight w:val="none"/>
          <w:lang w:val="en-US" w:eastAsia="zh-CN"/>
        </w:rPr>
        <w:t>9废水处置协议</w:t>
      </w:r>
      <w:r>
        <w:rPr>
          <w:rFonts w:hint="default" w:ascii="Times New Roman" w:hAnsi="Times New Roman" w:eastAsia="宋体" w:cs="Times New Roman"/>
          <w:b w:val="0"/>
          <w:bCs/>
          <w:color w:val="auto"/>
          <w:szCs w:val="24"/>
          <w:highlight w:val="none"/>
          <w:lang w:eastAsia="zh-CN"/>
        </w:rPr>
        <w:tab/>
      </w:r>
      <w:r>
        <w:rPr>
          <w:rFonts w:hint="default" w:ascii="Times New Roman" w:hAnsi="Times New Roman" w:eastAsia="宋体" w:cs="Times New Roman"/>
          <w:b w:val="0"/>
          <w:bCs/>
          <w:color w:val="auto"/>
          <w:szCs w:val="24"/>
          <w:highlight w:val="none"/>
          <w:lang w:eastAsia="zh-CN"/>
        </w:rPr>
        <w:fldChar w:fldCharType="begin"/>
      </w:r>
      <w:r>
        <w:rPr>
          <w:rFonts w:hint="default" w:ascii="Times New Roman" w:hAnsi="Times New Roman" w:eastAsia="宋体" w:cs="Times New Roman"/>
          <w:b w:val="0"/>
          <w:bCs/>
          <w:color w:val="auto"/>
          <w:szCs w:val="24"/>
          <w:highlight w:val="none"/>
          <w:lang w:eastAsia="zh-CN"/>
        </w:rPr>
        <w:instrText xml:space="preserve"> PAGEREF _Toc31707 \h </w:instrText>
      </w:r>
      <w:r>
        <w:rPr>
          <w:rFonts w:hint="default" w:ascii="Times New Roman" w:hAnsi="Times New Roman" w:eastAsia="宋体" w:cs="Times New Roman"/>
          <w:b w:val="0"/>
          <w:bCs/>
          <w:color w:val="auto"/>
          <w:szCs w:val="24"/>
          <w:highlight w:val="none"/>
          <w:lang w:eastAsia="zh-CN"/>
        </w:rPr>
        <w:fldChar w:fldCharType="separate"/>
      </w:r>
      <w:r>
        <w:rPr>
          <w:rFonts w:hint="default" w:ascii="Times New Roman" w:hAnsi="Times New Roman" w:eastAsia="宋体" w:cs="Times New Roman"/>
          <w:b w:val="0"/>
          <w:bCs/>
          <w:color w:val="auto"/>
          <w:szCs w:val="24"/>
          <w:highlight w:val="none"/>
          <w:lang w:eastAsia="zh-CN"/>
        </w:rPr>
        <w:t>70</w:t>
      </w:r>
      <w:r>
        <w:rPr>
          <w:rFonts w:hint="default" w:ascii="Times New Roman" w:hAnsi="Times New Roman" w:eastAsia="宋体" w:cs="Times New Roman"/>
          <w:b w:val="0"/>
          <w:bCs/>
          <w:color w:val="auto"/>
          <w:szCs w:val="24"/>
          <w:highlight w:val="none"/>
          <w:lang w:eastAsia="zh-CN"/>
        </w:rPr>
        <w:fldChar w:fldCharType="end"/>
      </w:r>
      <w:r>
        <w:rPr>
          <w:rFonts w:hint="default" w:ascii="Times New Roman" w:hAnsi="Times New Roman" w:eastAsia="宋体" w:cs="Times New Roman"/>
          <w:b w:val="0"/>
          <w:bCs/>
          <w:color w:val="auto"/>
          <w:szCs w:val="24"/>
          <w:highlight w:val="none"/>
          <w:lang w:eastAsia="zh-CN"/>
        </w:rPr>
        <w:fldChar w:fldCharType="end"/>
      </w:r>
    </w:p>
    <w:p w14:paraId="0067FC61">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FF"/>
          <w:sz w:val="24"/>
          <w:szCs w:val="24"/>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0000FF"/>
          <w:szCs w:val="24"/>
          <w:highlight w:val="none"/>
          <w:lang w:eastAsia="zh-CN"/>
        </w:rPr>
        <w:fldChar w:fldCharType="end"/>
      </w:r>
    </w:p>
    <w:p w14:paraId="0B2C0A2E">
      <w:pPr>
        <w:jc w:val="center"/>
        <w:outlineLvl w:val="0"/>
        <w:rPr>
          <w:rFonts w:hint="default" w:ascii="Times New Roman" w:hAnsi="Times New Roman" w:eastAsia="黑体" w:cs="Times New Roman"/>
          <w:snapToGrid w:val="0"/>
          <w:color w:val="auto"/>
          <w:sz w:val="30"/>
          <w:szCs w:val="30"/>
          <w:highlight w:val="none"/>
        </w:rPr>
      </w:pPr>
      <w:bookmarkStart w:id="2" w:name="_Toc1617"/>
      <w:r>
        <w:rPr>
          <w:rFonts w:hint="default" w:ascii="Times New Roman" w:hAnsi="Times New Roman" w:eastAsia="黑体" w:cs="Times New Roman"/>
          <w:snapToGrid w:val="0"/>
          <w:color w:val="auto"/>
          <w:sz w:val="30"/>
          <w:szCs w:val="30"/>
          <w:highlight w:val="none"/>
        </w:rPr>
        <w:t>一、建设项目基本情况</w:t>
      </w:r>
      <w:bookmarkEnd w:id="2"/>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131"/>
        <w:gridCol w:w="2720"/>
      </w:tblGrid>
      <w:tr w14:paraId="2324C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3D4F402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建设项目名称</w:t>
            </w:r>
          </w:p>
        </w:tc>
        <w:tc>
          <w:tcPr>
            <w:tcW w:w="6488" w:type="dxa"/>
            <w:gridSpan w:val="3"/>
            <w:noWrap w:val="0"/>
            <w:vAlign w:val="center"/>
          </w:tcPr>
          <w:p w14:paraId="480F46FE">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青冈县赵董农副产品生产有限公司</w:t>
            </w:r>
            <w:r>
              <w:rPr>
                <w:rFonts w:hint="default" w:ascii="Times New Roman" w:hAnsi="Times New Roman" w:cs="Times New Roman"/>
                <w:color w:val="auto"/>
                <w:szCs w:val="21"/>
                <w:highlight w:val="none"/>
                <w:lang w:val="en-US" w:eastAsia="zh-CN"/>
              </w:rPr>
              <w:t>建设项目</w:t>
            </w:r>
          </w:p>
        </w:tc>
      </w:tr>
      <w:tr w14:paraId="2BB35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4B234D3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6488" w:type="dxa"/>
            <w:gridSpan w:val="3"/>
            <w:noWrap w:val="0"/>
            <w:vAlign w:val="center"/>
          </w:tcPr>
          <w:p w14:paraId="70CFD9A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tc>
      </w:tr>
      <w:tr w14:paraId="44B865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68A77C4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1637" w:type="dxa"/>
            <w:noWrap w:val="0"/>
            <w:vAlign w:val="center"/>
          </w:tcPr>
          <w:p w14:paraId="52A3F45B">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赵松江</w:t>
            </w:r>
          </w:p>
        </w:tc>
        <w:tc>
          <w:tcPr>
            <w:tcW w:w="2131" w:type="dxa"/>
            <w:noWrap w:val="0"/>
            <w:vAlign w:val="center"/>
          </w:tcPr>
          <w:p w14:paraId="472B8AC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联系方式</w:t>
            </w:r>
          </w:p>
        </w:tc>
        <w:tc>
          <w:tcPr>
            <w:tcW w:w="2720" w:type="dxa"/>
            <w:noWrap w:val="0"/>
            <w:vAlign w:val="center"/>
          </w:tcPr>
          <w:p w14:paraId="65B0B17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13945545498</w:t>
            </w:r>
          </w:p>
        </w:tc>
      </w:tr>
      <w:tr w14:paraId="7D901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382" w:type="dxa"/>
            <w:noWrap w:val="0"/>
            <w:tcMar>
              <w:top w:w="16" w:type="dxa"/>
              <w:left w:w="16" w:type="dxa"/>
              <w:right w:w="16" w:type="dxa"/>
            </w:tcMar>
            <w:vAlign w:val="center"/>
          </w:tcPr>
          <w:p w14:paraId="29CAFD0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6488" w:type="dxa"/>
            <w:gridSpan w:val="3"/>
            <w:noWrap w:val="0"/>
            <w:vAlign w:val="center"/>
          </w:tcPr>
          <w:p w14:paraId="1BE797F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黑龙江省</w:t>
            </w:r>
            <w:r>
              <w:rPr>
                <w:rFonts w:hint="default" w:ascii="Times New Roman" w:hAnsi="Times New Roman" w:cs="Times New Roman"/>
                <w:color w:val="auto"/>
                <w:szCs w:val="21"/>
                <w:highlight w:val="none"/>
                <w:lang w:eastAsia="zh-CN"/>
              </w:rPr>
              <w:t>绥化市青冈县连丰乡友好村三马架屯</w:t>
            </w:r>
          </w:p>
        </w:tc>
      </w:tr>
      <w:tr w14:paraId="40FA8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54A0756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6488" w:type="dxa"/>
            <w:gridSpan w:val="3"/>
            <w:noWrap w:val="0"/>
            <w:vAlign w:val="center"/>
          </w:tcPr>
          <w:p w14:paraId="4C86948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u w:val="single"/>
              </w:rPr>
              <w:t xml:space="preserve"> 12</w:t>
            </w:r>
            <w:r>
              <w:rPr>
                <w:rFonts w:hint="default" w:ascii="Times New Roman" w:hAnsi="Times New Roman" w:cs="Times New Roman"/>
                <w:color w:val="auto"/>
                <w:szCs w:val="21"/>
                <w:highlight w:val="none"/>
                <w:u w:val="single"/>
                <w:lang w:val="en-US" w:eastAsia="zh-CN"/>
              </w:rPr>
              <w:t>5</w:t>
            </w:r>
            <w:r>
              <w:rPr>
                <w:rFonts w:hint="default" w:ascii="Times New Roman" w:hAnsi="Times New Roman" w:cs="Times New Roman"/>
                <w:color w:val="auto"/>
                <w:szCs w:val="21"/>
                <w:highlight w:val="none"/>
              </w:rPr>
              <w:t>度</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55</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2.500</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秒，</w:t>
            </w:r>
            <w:r>
              <w:rPr>
                <w:rFonts w:hint="default" w:ascii="Times New Roman" w:hAnsi="Times New Roman" w:cs="Times New Roman"/>
                <w:color w:val="auto"/>
                <w:szCs w:val="21"/>
                <w:highlight w:val="none"/>
                <w:u w:val="single"/>
              </w:rPr>
              <w:t xml:space="preserve"> 46 </w:t>
            </w:r>
            <w:r>
              <w:rPr>
                <w:rFonts w:hint="default" w:ascii="Times New Roman" w:hAnsi="Times New Roman" w:cs="Times New Roman"/>
                <w:color w:val="auto"/>
                <w:szCs w:val="21"/>
                <w:highlight w:val="none"/>
              </w:rPr>
              <w:t>度</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54</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分</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2.380</w:t>
            </w:r>
            <w:r>
              <w:rPr>
                <w:rFonts w:hint="default" w:ascii="Times New Roman" w:hAnsi="Times New Roman" w:cs="Times New Roman"/>
                <w:color w:val="auto"/>
                <w:szCs w:val="21"/>
                <w:highlight w:val="none"/>
              </w:rPr>
              <w:t>秒）</w:t>
            </w:r>
          </w:p>
        </w:tc>
      </w:tr>
      <w:tr w14:paraId="160F62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14:paraId="67B2A98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14:paraId="002BFC5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1637" w:type="dxa"/>
            <w:noWrap w:val="0"/>
            <w:vAlign w:val="center"/>
          </w:tcPr>
          <w:p w14:paraId="3038CCD5">
            <w:pPr>
              <w:adjustRightInd w:val="0"/>
              <w:snapToGrid w:val="0"/>
              <w:jc w:val="both"/>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C1371蔬菜加工</w:t>
            </w:r>
          </w:p>
          <w:p w14:paraId="08E4B69C">
            <w:pPr>
              <w:adjustRightInd w:val="0"/>
              <w:snapToGrid w:val="0"/>
              <w:jc w:val="both"/>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C1432速</w:t>
            </w:r>
            <w:r>
              <w:rPr>
                <w:rFonts w:hint="default" w:ascii="Times New Roman" w:hAnsi="Times New Roman" w:cs="Times New Roman"/>
                <w:color w:val="auto"/>
                <w:szCs w:val="21"/>
                <w:highlight w:val="none"/>
                <w:lang w:val="en-US" w:eastAsia="zh-CN"/>
              </w:rPr>
              <w:t>冻食品制造</w:t>
            </w:r>
          </w:p>
          <w:p w14:paraId="7DB8ACA8">
            <w:pPr>
              <w:adjustRightInd w:val="0"/>
              <w:snapToGrid w:val="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D4430热力生产和供应</w:t>
            </w:r>
          </w:p>
        </w:tc>
        <w:tc>
          <w:tcPr>
            <w:tcW w:w="2131" w:type="dxa"/>
            <w:noWrap w:val="0"/>
            <w:vAlign w:val="center"/>
          </w:tcPr>
          <w:p w14:paraId="4C4EEDF7">
            <w:pPr>
              <w:adjustRightInd w:val="0"/>
              <w:snapToGrid w:val="0"/>
              <w:jc w:val="center"/>
              <w:rPr>
                <w:rFonts w:hint="default" w:ascii="Times New Roman" w:hAnsi="Times New Roman" w:cs="Times New Roman"/>
                <w:color w:val="auto"/>
                <w:szCs w:val="21"/>
                <w:highlight w:val="none"/>
              </w:rPr>
            </w:pPr>
            <w:bookmarkStart w:id="3" w:name="_Hlk49843745"/>
            <w:r>
              <w:rPr>
                <w:rFonts w:hint="default" w:ascii="Times New Roman" w:hAnsi="Times New Roman" w:cs="Times New Roman"/>
                <w:color w:val="auto"/>
                <w:szCs w:val="21"/>
                <w:highlight w:val="none"/>
              </w:rPr>
              <w:t>建设项目</w:t>
            </w:r>
          </w:p>
          <w:p w14:paraId="502D813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bookmarkEnd w:id="3"/>
          </w:p>
        </w:tc>
        <w:tc>
          <w:tcPr>
            <w:tcW w:w="2720" w:type="dxa"/>
            <w:noWrap w:val="0"/>
            <w:vAlign w:val="center"/>
          </w:tcPr>
          <w:p w14:paraId="17E58E9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十三、</w:t>
            </w:r>
            <w:r>
              <w:rPr>
                <w:rFonts w:hint="default" w:ascii="Times New Roman" w:hAnsi="Times New Roman" w:cs="Times New Roman"/>
                <w:color w:val="auto"/>
                <w:szCs w:val="21"/>
                <w:highlight w:val="none"/>
              </w:rPr>
              <w:t>食品制造业</w:t>
            </w:r>
            <w:r>
              <w:rPr>
                <w:rFonts w:hint="default"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21、糖果、巧克力及蜜饯制造</w:t>
            </w:r>
            <w:r>
              <w:rPr>
                <w:rFonts w:hint="default" w:ascii="Times New Roman" w:hAnsi="Times New Roman" w:cs="Times New Roman"/>
                <w:color w:val="auto"/>
                <w:szCs w:val="21"/>
                <w:highlight w:val="none"/>
              </w:rPr>
              <w:t>；方便食品制造 ；罐头食品制造</w:t>
            </w:r>
          </w:p>
          <w:p w14:paraId="3E978D3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四十一、电力、热力生产和供应业91 热力生产和供应工程（包括建设单位自建自用的供热工程），燃煤锅炉总容量65吨/小时（45.5兆瓦）及以下的</w:t>
            </w:r>
          </w:p>
        </w:tc>
      </w:tr>
      <w:tr w14:paraId="5A56C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14:paraId="1E26B91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1637" w:type="dxa"/>
            <w:noWrap w:val="0"/>
            <w:vAlign w:val="center"/>
          </w:tcPr>
          <w:p w14:paraId="659EEF7C">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新建（迁建）</w:t>
            </w:r>
          </w:p>
          <w:p w14:paraId="4164D3BB">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改建</w:t>
            </w:r>
          </w:p>
          <w:p w14:paraId="34A7A690">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扩建</w:t>
            </w:r>
          </w:p>
          <w:p w14:paraId="20E34AF5">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技术改造</w:t>
            </w:r>
          </w:p>
        </w:tc>
        <w:tc>
          <w:tcPr>
            <w:tcW w:w="2131" w:type="dxa"/>
            <w:noWrap w:val="0"/>
            <w:vAlign w:val="center"/>
          </w:tcPr>
          <w:p w14:paraId="4A95694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建设项目</w:t>
            </w:r>
          </w:p>
          <w:p w14:paraId="3EB187F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申报情形</w:t>
            </w:r>
          </w:p>
        </w:tc>
        <w:tc>
          <w:tcPr>
            <w:tcW w:w="2720" w:type="dxa"/>
            <w:noWrap w:val="0"/>
            <w:vAlign w:val="center"/>
          </w:tcPr>
          <w:p w14:paraId="21A84BC8">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首次申报项目</w:t>
            </w:r>
          </w:p>
          <w:p w14:paraId="3C4943DA">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不予批准后再次申报项目</w:t>
            </w:r>
          </w:p>
          <w:p w14:paraId="76E1C048">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超五年重新审核项目</w:t>
            </w:r>
          </w:p>
          <w:p w14:paraId="2E6D543B">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重大变动重新报批项目</w:t>
            </w:r>
          </w:p>
        </w:tc>
      </w:tr>
      <w:tr w14:paraId="5F06E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14:paraId="0A9D8E5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5D18ED1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1637" w:type="dxa"/>
            <w:noWrap w:val="0"/>
            <w:vAlign w:val="center"/>
          </w:tcPr>
          <w:p w14:paraId="225E368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tc>
        <w:tc>
          <w:tcPr>
            <w:tcW w:w="2131" w:type="dxa"/>
            <w:noWrap w:val="0"/>
            <w:vAlign w:val="center"/>
          </w:tcPr>
          <w:p w14:paraId="6F8708B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614E147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备案）文号（选填）</w:t>
            </w:r>
          </w:p>
        </w:tc>
        <w:tc>
          <w:tcPr>
            <w:tcW w:w="2720" w:type="dxa"/>
            <w:noWrap w:val="0"/>
            <w:vAlign w:val="center"/>
          </w:tcPr>
          <w:p w14:paraId="55DD506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w:t>
            </w:r>
          </w:p>
        </w:tc>
      </w:tr>
      <w:tr w14:paraId="3CF87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7AA8597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1637" w:type="dxa"/>
            <w:noWrap w:val="0"/>
            <w:vAlign w:val="center"/>
          </w:tcPr>
          <w:p w14:paraId="3847A336">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100</w:t>
            </w:r>
          </w:p>
        </w:tc>
        <w:tc>
          <w:tcPr>
            <w:tcW w:w="2131" w:type="dxa"/>
            <w:noWrap w:val="0"/>
            <w:tcMar>
              <w:top w:w="16" w:type="dxa"/>
              <w:left w:w="16" w:type="dxa"/>
              <w:right w:w="16" w:type="dxa"/>
            </w:tcMar>
            <w:vAlign w:val="center"/>
          </w:tcPr>
          <w:p w14:paraId="127E01A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2720" w:type="dxa"/>
            <w:noWrap w:val="0"/>
            <w:vAlign w:val="center"/>
          </w:tcPr>
          <w:p w14:paraId="547D9300">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r>
      <w:tr w14:paraId="4F4A7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1E9B2841">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1637" w:type="dxa"/>
            <w:noWrap w:val="0"/>
            <w:vAlign w:val="center"/>
          </w:tcPr>
          <w:p w14:paraId="0A1B739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2131" w:type="dxa"/>
            <w:noWrap w:val="0"/>
            <w:tcMar>
              <w:top w:w="16" w:type="dxa"/>
              <w:left w:w="16" w:type="dxa"/>
              <w:right w:w="16" w:type="dxa"/>
            </w:tcMar>
            <w:vAlign w:val="center"/>
          </w:tcPr>
          <w:p w14:paraId="6915BF37">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2720" w:type="dxa"/>
            <w:noWrap w:val="0"/>
            <w:vAlign w:val="center"/>
          </w:tcPr>
          <w:p w14:paraId="6051AD1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1个月，2026年3月</w:t>
            </w:r>
          </w:p>
        </w:tc>
      </w:tr>
      <w:tr w14:paraId="4674D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14:paraId="373AA3D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1637" w:type="dxa"/>
            <w:noWrap w:val="0"/>
            <w:vAlign w:val="center"/>
          </w:tcPr>
          <w:p w14:paraId="292322BD">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52"/>
            </w:r>
            <w:r>
              <w:rPr>
                <w:rFonts w:hint="default" w:ascii="Times New Roman" w:hAnsi="Times New Roman" w:cs="Times New Roman"/>
                <w:color w:val="auto"/>
                <w:szCs w:val="21"/>
                <w:highlight w:val="none"/>
              </w:rPr>
              <w:t>否</w:t>
            </w:r>
          </w:p>
          <w:p w14:paraId="40CA37DC">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2" w:char="00A3"/>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tc>
        <w:tc>
          <w:tcPr>
            <w:tcW w:w="2131" w:type="dxa"/>
            <w:noWrap w:val="0"/>
            <w:tcMar>
              <w:top w:w="16" w:type="dxa"/>
              <w:left w:w="16" w:type="dxa"/>
              <w:right w:w="16" w:type="dxa"/>
            </w:tcMar>
            <w:vAlign w:val="center"/>
          </w:tcPr>
          <w:p w14:paraId="16769DA3">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用地（用海）</w:t>
            </w:r>
          </w:p>
          <w:p w14:paraId="404D60F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面积（m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p>
        </w:tc>
        <w:tc>
          <w:tcPr>
            <w:tcW w:w="2720" w:type="dxa"/>
            <w:noWrap w:val="0"/>
            <w:vAlign w:val="center"/>
          </w:tcPr>
          <w:p w14:paraId="21E62DC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3888m</w:t>
            </w:r>
            <w:r>
              <w:rPr>
                <w:rFonts w:hint="default" w:ascii="Times New Roman" w:hAnsi="Times New Roman" w:cs="Times New Roman"/>
                <w:color w:val="auto"/>
                <w:szCs w:val="21"/>
                <w:highlight w:val="none"/>
                <w:vertAlign w:val="superscript"/>
                <w:lang w:val="en-US" w:eastAsia="zh-CN"/>
              </w:rPr>
              <w:t>2</w:t>
            </w:r>
          </w:p>
        </w:tc>
      </w:tr>
      <w:tr w14:paraId="771EA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382" w:type="dxa"/>
            <w:noWrap w:val="0"/>
            <w:vAlign w:val="center"/>
          </w:tcPr>
          <w:p w14:paraId="71156BF4">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6488" w:type="dxa"/>
            <w:gridSpan w:val="3"/>
            <w:noWrap w:val="0"/>
            <w:vAlign w:val="center"/>
          </w:tcPr>
          <w:p w14:paraId="509A995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根据《建设项目环境影响报告表编制技术指南（污染影响类）》（试行）可知，土壤、声环境不开展专项评价，地下水原则上不开展专项评价，本项目大气、地表水、环境风险、生态和海洋专项评价</w:t>
            </w:r>
            <w:r>
              <w:rPr>
                <w:rFonts w:hint="default" w:ascii="Times New Roman" w:hAnsi="Times New Roman" w:cs="Times New Roman"/>
                <w:color w:val="auto"/>
                <w:kern w:val="0"/>
                <w:sz w:val="21"/>
                <w:szCs w:val="21"/>
                <w:highlight w:val="none"/>
                <w:lang w:eastAsia="zh-CN"/>
              </w:rPr>
              <w:t>设置</w:t>
            </w:r>
            <w:r>
              <w:rPr>
                <w:rFonts w:hint="default" w:ascii="Times New Roman" w:hAnsi="Times New Roman" w:cs="Times New Roman"/>
                <w:color w:val="auto"/>
                <w:kern w:val="0"/>
                <w:sz w:val="21"/>
                <w:szCs w:val="21"/>
                <w:highlight w:val="none"/>
              </w:rPr>
              <w:t>情况详见下表。</w:t>
            </w:r>
          </w:p>
          <w:p w14:paraId="4FFB96F7">
            <w:pPr>
              <w:autoSpaceDE w:val="0"/>
              <w:autoSpaceDN w:val="0"/>
              <w:adjustRightInd w:val="0"/>
              <w:snapToGrid w:val="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b/>
                <w:bCs/>
                <w:color w:val="auto"/>
                <w:sz w:val="21"/>
                <w:szCs w:val="21"/>
                <w:highlight w:val="none"/>
              </w:rPr>
              <w:t>表1-1 专项评价设置情况</w:t>
            </w:r>
          </w:p>
          <w:tbl>
            <w:tblPr>
              <w:tblStyle w:val="13"/>
              <w:tblW w:w="62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194"/>
              <w:gridCol w:w="2389"/>
              <w:gridCol w:w="894"/>
            </w:tblGrid>
            <w:tr w14:paraId="2C8E2C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3" w:hRule="atLeast"/>
                <w:jc w:val="center"/>
              </w:trPr>
              <w:tc>
                <w:tcPr>
                  <w:tcW w:w="782" w:type="dxa"/>
                  <w:tcBorders>
                    <w:tl2br w:val="nil"/>
                    <w:tr2bl w:val="nil"/>
                  </w:tcBorders>
                  <w:noWrap/>
                  <w:vAlign w:val="center"/>
                </w:tcPr>
                <w:p w14:paraId="5BF0983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2"/>
                      <w:kern w:val="0"/>
                      <w:sz w:val="18"/>
                      <w:szCs w:val="18"/>
                      <w:highlight w:val="none"/>
                    </w:rPr>
                  </w:pPr>
                  <w:r>
                    <w:rPr>
                      <w:rFonts w:hint="default" w:ascii="Times New Roman" w:hAnsi="Times New Roman" w:cs="Times New Roman"/>
                      <w:b w:val="0"/>
                      <w:bCs w:val="0"/>
                      <w:color w:val="auto"/>
                      <w:spacing w:val="2"/>
                      <w:kern w:val="0"/>
                      <w:sz w:val="18"/>
                      <w:szCs w:val="18"/>
                      <w:highlight w:val="none"/>
                    </w:rPr>
                    <w:t>专项评价类别</w:t>
                  </w:r>
                </w:p>
              </w:tc>
              <w:tc>
                <w:tcPr>
                  <w:tcW w:w="2194" w:type="dxa"/>
                  <w:tcBorders>
                    <w:tl2br w:val="nil"/>
                    <w:tr2bl w:val="nil"/>
                  </w:tcBorders>
                  <w:noWrap/>
                  <w:vAlign w:val="center"/>
                </w:tcPr>
                <w:p w14:paraId="3815082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2"/>
                      <w:kern w:val="0"/>
                      <w:sz w:val="18"/>
                      <w:szCs w:val="18"/>
                      <w:highlight w:val="none"/>
                    </w:rPr>
                  </w:pPr>
                  <w:r>
                    <w:rPr>
                      <w:rFonts w:hint="default" w:ascii="Times New Roman" w:hAnsi="Times New Roman" w:cs="Times New Roman"/>
                      <w:b w:val="0"/>
                      <w:bCs w:val="0"/>
                      <w:color w:val="auto"/>
                      <w:spacing w:val="2"/>
                      <w:kern w:val="0"/>
                      <w:sz w:val="18"/>
                      <w:szCs w:val="18"/>
                      <w:highlight w:val="none"/>
                    </w:rPr>
                    <w:t>设置原则</w:t>
                  </w:r>
                </w:p>
              </w:tc>
              <w:tc>
                <w:tcPr>
                  <w:tcW w:w="2389" w:type="dxa"/>
                  <w:tcBorders>
                    <w:tl2br w:val="nil"/>
                    <w:tr2bl w:val="nil"/>
                  </w:tcBorders>
                  <w:noWrap/>
                  <w:vAlign w:val="center"/>
                </w:tcPr>
                <w:p w14:paraId="0AAEA5B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2"/>
                      <w:kern w:val="0"/>
                      <w:sz w:val="18"/>
                      <w:szCs w:val="18"/>
                      <w:highlight w:val="none"/>
                    </w:rPr>
                  </w:pPr>
                  <w:r>
                    <w:rPr>
                      <w:rFonts w:hint="default" w:ascii="Times New Roman" w:hAnsi="Times New Roman" w:cs="Times New Roman"/>
                      <w:b w:val="0"/>
                      <w:bCs w:val="0"/>
                      <w:color w:val="auto"/>
                      <w:spacing w:val="2"/>
                      <w:kern w:val="0"/>
                      <w:sz w:val="18"/>
                      <w:szCs w:val="18"/>
                      <w:highlight w:val="none"/>
                    </w:rPr>
                    <w:t>本项目情况</w:t>
                  </w:r>
                </w:p>
              </w:tc>
              <w:tc>
                <w:tcPr>
                  <w:tcW w:w="894" w:type="dxa"/>
                  <w:tcBorders>
                    <w:tl2br w:val="nil"/>
                    <w:tr2bl w:val="nil"/>
                  </w:tcBorders>
                  <w:noWrap/>
                  <w:vAlign w:val="center"/>
                </w:tcPr>
                <w:p w14:paraId="0FB37F2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lang w:val="en-US" w:eastAsia="zh-CN"/>
                    </w:rPr>
                    <w:t>是否设置</w:t>
                  </w:r>
                </w:p>
                <w:p w14:paraId="6112B197">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pacing w:val="2"/>
                      <w:kern w:val="0"/>
                      <w:sz w:val="18"/>
                      <w:szCs w:val="18"/>
                      <w:highlight w:val="none"/>
                      <w:lang w:val="en-US" w:eastAsia="zh-CN"/>
                    </w:rPr>
                  </w:pPr>
                  <w:r>
                    <w:rPr>
                      <w:rFonts w:hint="default" w:ascii="Times New Roman" w:hAnsi="Times New Roman" w:cs="Times New Roman"/>
                      <w:b w:val="0"/>
                      <w:bCs w:val="0"/>
                      <w:color w:val="auto"/>
                      <w:spacing w:val="2"/>
                      <w:kern w:val="0"/>
                      <w:sz w:val="18"/>
                      <w:szCs w:val="18"/>
                      <w:highlight w:val="none"/>
                    </w:rPr>
                    <w:t>专项评价</w:t>
                  </w:r>
                </w:p>
              </w:tc>
            </w:tr>
            <w:tr w14:paraId="3FD21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82" w:type="dxa"/>
                  <w:tcBorders>
                    <w:tl2br w:val="nil"/>
                    <w:tr2bl w:val="nil"/>
                  </w:tcBorders>
                  <w:noWrap/>
                  <w:vAlign w:val="center"/>
                </w:tcPr>
                <w:p w14:paraId="3C974D0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大气</w:t>
                  </w:r>
                </w:p>
              </w:tc>
              <w:tc>
                <w:tcPr>
                  <w:tcW w:w="2194" w:type="dxa"/>
                  <w:tcBorders>
                    <w:tl2br w:val="nil"/>
                    <w:tr2bl w:val="nil"/>
                  </w:tcBorders>
                  <w:noWrap w:val="0"/>
                  <w:vAlign w:val="center"/>
                </w:tcPr>
                <w:p w14:paraId="09122034">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排放废气含有毒有害污染物、二噁英、苯并[a]芘、氰化物、氯气且厂界外500</w:t>
                  </w:r>
                  <w:r>
                    <w:rPr>
                      <w:rFonts w:hint="default" w:ascii="Times New Roman" w:hAnsi="Times New Roman" w:cs="Times New Roman"/>
                      <w:color w:val="auto"/>
                      <w:spacing w:val="2"/>
                      <w:kern w:val="0"/>
                      <w:sz w:val="18"/>
                      <w:szCs w:val="18"/>
                      <w:highlight w:val="none"/>
                      <w:lang w:val="en-US" w:eastAsia="zh-CN"/>
                    </w:rPr>
                    <w:t>m</w:t>
                  </w:r>
                  <w:r>
                    <w:rPr>
                      <w:rFonts w:hint="default" w:ascii="Times New Roman" w:hAnsi="Times New Roman" w:cs="Times New Roman"/>
                      <w:color w:val="auto"/>
                      <w:spacing w:val="2"/>
                      <w:kern w:val="0"/>
                      <w:sz w:val="18"/>
                      <w:szCs w:val="18"/>
                      <w:highlight w:val="none"/>
                    </w:rPr>
                    <w:t>范围内有环境空气保护目标的建设项目</w:t>
                  </w:r>
                </w:p>
              </w:tc>
              <w:tc>
                <w:tcPr>
                  <w:tcW w:w="2389" w:type="dxa"/>
                  <w:tcBorders>
                    <w:tl2br w:val="nil"/>
                    <w:tr2bl w:val="nil"/>
                  </w:tcBorders>
                  <w:noWrap/>
                  <w:vAlign w:val="center"/>
                </w:tcPr>
                <w:p w14:paraId="7A7BAEE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pacing w:val="2"/>
                      <w:kern w:val="0"/>
                      <w:sz w:val="18"/>
                      <w:szCs w:val="18"/>
                      <w:highlight w:val="none"/>
                      <w:lang w:val="en-US" w:eastAsia="zh-CN"/>
                    </w:rPr>
                  </w:pPr>
                  <w:r>
                    <w:rPr>
                      <w:rFonts w:hint="default" w:ascii="Times New Roman" w:hAnsi="Times New Roman" w:cs="Times New Roman"/>
                      <w:color w:val="auto"/>
                      <w:spacing w:val="2"/>
                      <w:kern w:val="0"/>
                      <w:sz w:val="18"/>
                      <w:szCs w:val="18"/>
                      <w:highlight w:val="none"/>
                      <w:lang w:val="en-US" w:eastAsia="zh-CN"/>
                    </w:rPr>
                    <w:t>项目不涉及</w:t>
                  </w:r>
                  <w:r>
                    <w:rPr>
                      <w:rFonts w:hint="default" w:ascii="Times New Roman" w:hAnsi="Times New Roman" w:cs="Times New Roman"/>
                      <w:color w:val="auto"/>
                      <w:spacing w:val="2"/>
                      <w:kern w:val="0"/>
                      <w:sz w:val="18"/>
                      <w:szCs w:val="18"/>
                      <w:highlight w:val="none"/>
                    </w:rPr>
                    <w:t>有毒有害污染物、二噁英、苯并[a]芘、氰化物、氯气</w:t>
                  </w:r>
                  <w:r>
                    <w:rPr>
                      <w:rFonts w:hint="default" w:ascii="Times New Roman" w:hAnsi="Times New Roman" w:cs="Times New Roman"/>
                      <w:color w:val="auto"/>
                      <w:spacing w:val="2"/>
                      <w:kern w:val="0"/>
                      <w:sz w:val="18"/>
                      <w:szCs w:val="18"/>
                      <w:highlight w:val="none"/>
                      <w:lang w:val="en-US" w:eastAsia="zh-CN"/>
                    </w:rPr>
                    <w:t>等污染物排放，故不需要设置大气专项</w:t>
                  </w:r>
                </w:p>
              </w:tc>
              <w:tc>
                <w:tcPr>
                  <w:tcW w:w="894" w:type="dxa"/>
                  <w:tcBorders>
                    <w:tl2br w:val="nil"/>
                    <w:tr2bl w:val="nil"/>
                  </w:tcBorders>
                  <w:noWrap/>
                  <w:vAlign w:val="center"/>
                </w:tcPr>
                <w:p w14:paraId="3E8C0A5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否</w:t>
                  </w:r>
                </w:p>
              </w:tc>
            </w:tr>
            <w:tr w14:paraId="7B88D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82" w:type="dxa"/>
                  <w:tcBorders>
                    <w:tl2br w:val="nil"/>
                    <w:tr2bl w:val="nil"/>
                  </w:tcBorders>
                  <w:noWrap/>
                  <w:vAlign w:val="center"/>
                </w:tcPr>
                <w:p w14:paraId="585FD1A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地表水</w:t>
                  </w:r>
                </w:p>
              </w:tc>
              <w:tc>
                <w:tcPr>
                  <w:tcW w:w="2194" w:type="dxa"/>
                  <w:tcBorders>
                    <w:tl2br w:val="nil"/>
                    <w:tr2bl w:val="nil"/>
                  </w:tcBorders>
                  <w:noWrap w:val="0"/>
                  <w:vAlign w:val="center"/>
                </w:tcPr>
                <w:p w14:paraId="66573B2B">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新增工业废水直排建设项目（槽罐车外送污水处理厂的除外）；新增废水直排的污水集中处理厂</w:t>
                  </w:r>
                </w:p>
              </w:tc>
              <w:tc>
                <w:tcPr>
                  <w:tcW w:w="2389" w:type="dxa"/>
                  <w:tcBorders>
                    <w:tl2br w:val="nil"/>
                    <w:tr2bl w:val="nil"/>
                  </w:tcBorders>
                  <w:noWrap/>
                  <w:vAlign w:val="center"/>
                </w:tcPr>
                <w:p w14:paraId="1CF9F47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2"/>
                      <w:kern w:val="0"/>
                      <w:sz w:val="18"/>
                      <w:szCs w:val="18"/>
                      <w:highlight w:val="none"/>
                      <w:lang w:val="en-US" w:eastAsia="zh-CN"/>
                    </w:rPr>
                  </w:pPr>
                  <w:r>
                    <w:rPr>
                      <w:rFonts w:hint="default" w:ascii="Times New Roman" w:hAnsi="Times New Roman" w:cs="Times New Roman"/>
                      <w:color w:val="auto"/>
                      <w:spacing w:val="2"/>
                      <w:kern w:val="0"/>
                      <w:sz w:val="18"/>
                      <w:szCs w:val="18"/>
                      <w:highlight w:val="none"/>
                    </w:rPr>
                    <w:t>本项目</w:t>
                  </w:r>
                  <w:r>
                    <w:rPr>
                      <w:rFonts w:hint="default" w:ascii="Times New Roman" w:hAnsi="Times New Roman" w:cs="Times New Roman"/>
                      <w:color w:val="auto"/>
                      <w:spacing w:val="2"/>
                      <w:kern w:val="0"/>
                      <w:sz w:val="18"/>
                      <w:szCs w:val="18"/>
                      <w:highlight w:val="none"/>
                      <w:lang w:val="en-US" w:eastAsia="zh-CN"/>
                    </w:rPr>
                    <w:t>无</w:t>
                  </w:r>
                  <w:r>
                    <w:rPr>
                      <w:rFonts w:hint="default" w:ascii="Times New Roman" w:hAnsi="Times New Roman" w:cs="Times New Roman"/>
                      <w:color w:val="auto"/>
                      <w:spacing w:val="2"/>
                      <w:kern w:val="0"/>
                      <w:sz w:val="18"/>
                      <w:szCs w:val="18"/>
                      <w:highlight w:val="none"/>
                    </w:rPr>
                    <w:t>废水直排</w:t>
                  </w:r>
                  <w:r>
                    <w:rPr>
                      <w:rFonts w:hint="default" w:ascii="Times New Roman" w:hAnsi="Times New Roman" w:cs="Times New Roman"/>
                      <w:color w:val="auto"/>
                      <w:spacing w:val="2"/>
                      <w:kern w:val="0"/>
                      <w:sz w:val="18"/>
                      <w:szCs w:val="18"/>
                      <w:highlight w:val="none"/>
                      <w:lang w:val="en-US" w:eastAsia="zh-CN"/>
                    </w:rPr>
                    <w:t>情况，故不需要设置地表水专项</w:t>
                  </w:r>
                </w:p>
              </w:tc>
              <w:tc>
                <w:tcPr>
                  <w:tcW w:w="894" w:type="dxa"/>
                  <w:tcBorders>
                    <w:tl2br w:val="nil"/>
                    <w:tr2bl w:val="nil"/>
                  </w:tcBorders>
                  <w:noWrap/>
                  <w:vAlign w:val="center"/>
                </w:tcPr>
                <w:p w14:paraId="63FBD45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kern w:val="0"/>
                      <w:sz w:val="18"/>
                      <w:szCs w:val="18"/>
                      <w:highlight w:val="none"/>
                      <w:lang w:val="en-US" w:eastAsia="zh-CN" w:bidi="ar"/>
                    </w:rPr>
                    <w:t>否</w:t>
                  </w:r>
                </w:p>
              </w:tc>
            </w:tr>
            <w:tr w14:paraId="5F588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782" w:type="dxa"/>
                  <w:tcBorders>
                    <w:tl2br w:val="nil"/>
                    <w:tr2bl w:val="nil"/>
                  </w:tcBorders>
                  <w:noWrap/>
                  <w:vAlign w:val="center"/>
                </w:tcPr>
                <w:p w14:paraId="62BB286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环境风险</w:t>
                  </w:r>
                </w:p>
              </w:tc>
              <w:tc>
                <w:tcPr>
                  <w:tcW w:w="2194" w:type="dxa"/>
                  <w:tcBorders>
                    <w:tl2br w:val="nil"/>
                    <w:tr2bl w:val="nil"/>
                  </w:tcBorders>
                  <w:noWrap w:val="0"/>
                  <w:vAlign w:val="center"/>
                </w:tcPr>
                <w:p w14:paraId="50B7DFD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有毒有害和易燃易爆危险物质存储量超过临界量的建设项目</w:t>
                  </w:r>
                </w:p>
              </w:tc>
              <w:tc>
                <w:tcPr>
                  <w:tcW w:w="2389" w:type="dxa"/>
                  <w:tcBorders>
                    <w:tl2br w:val="nil"/>
                    <w:tr2bl w:val="nil"/>
                  </w:tcBorders>
                  <w:noWrap/>
                  <w:vAlign w:val="center"/>
                </w:tcPr>
                <w:p w14:paraId="43075EDF">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本项目有毒有害和易燃易爆危险物质存储量超过临界量</w:t>
                  </w:r>
                </w:p>
              </w:tc>
              <w:tc>
                <w:tcPr>
                  <w:tcW w:w="894" w:type="dxa"/>
                  <w:tcBorders>
                    <w:tl2br w:val="nil"/>
                    <w:tr2bl w:val="nil"/>
                  </w:tcBorders>
                  <w:noWrap/>
                  <w:vAlign w:val="center"/>
                </w:tcPr>
                <w:p w14:paraId="075BE53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kern w:val="0"/>
                      <w:sz w:val="18"/>
                      <w:szCs w:val="18"/>
                      <w:highlight w:val="none"/>
                      <w:lang w:val="en-US" w:eastAsia="zh-CN" w:bidi="ar"/>
                    </w:rPr>
                    <w:t>否</w:t>
                  </w:r>
                </w:p>
              </w:tc>
            </w:tr>
            <w:tr w14:paraId="5F72A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82" w:type="dxa"/>
                  <w:tcBorders>
                    <w:tl2br w:val="nil"/>
                    <w:tr2bl w:val="nil"/>
                  </w:tcBorders>
                  <w:noWrap/>
                  <w:vAlign w:val="center"/>
                </w:tcPr>
                <w:p w14:paraId="3BEF94E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生态</w:t>
                  </w:r>
                </w:p>
              </w:tc>
              <w:tc>
                <w:tcPr>
                  <w:tcW w:w="2194" w:type="dxa"/>
                  <w:tcBorders>
                    <w:tl2br w:val="nil"/>
                    <w:tr2bl w:val="nil"/>
                  </w:tcBorders>
                  <w:noWrap w:val="0"/>
                  <w:vAlign w:val="center"/>
                </w:tcPr>
                <w:p w14:paraId="206BE25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取水口下游500</w:t>
                  </w:r>
                  <w:r>
                    <w:rPr>
                      <w:rFonts w:hint="default" w:ascii="Times New Roman" w:hAnsi="Times New Roman" w:cs="Times New Roman"/>
                      <w:color w:val="auto"/>
                      <w:spacing w:val="2"/>
                      <w:kern w:val="0"/>
                      <w:sz w:val="18"/>
                      <w:szCs w:val="18"/>
                      <w:highlight w:val="none"/>
                      <w:lang w:val="en-US" w:eastAsia="zh-CN"/>
                    </w:rPr>
                    <w:t>m</w:t>
                  </w:r>
                  <w:r>
                    <w:rPr>
                      <w:rFonts w:hint="default" w:ascii="Times New Roman" w:hAnsi="Times New Roman" w:cs="Times New Roman"/>
                      <w:color w:val="auto"/>
                      <w:spacing w:val="2"/>
                      <w:kern w:val="0"/>
                      <w:sz w:val="18"/>
                      <w:szCs w:val="18"/>
                      <w:highlight w:val="none"/>
                    </w:rPr>
                    <w:t>范围内有重要水生生物的自然产卵场、索饵场、越冬场和洄游通道的新增河道取水的污染类建设项目</w:t>
                  </w:r>
                </w:p>
              </w:tc>
              <w:tc>
                <w:tcPr>
                  <w:tcW w:w="2389" w:type="dxa"/>
                  <w:tcBorders>
                    <w:tl2br w:val="nil"/>
                    <w:tr2bl w:val="nil"/>
                  </w:tcBorders>
                  <w:noWrap/>
                  <w:vAlign w:val="center"/>
                </w:tcPr>
                <w:p w14:paraId="6FCE10E3">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本项目未从河道取水，无取水口</w:t>
                  </w:r>
                </w:p>
              </w:tc>
              <w:tc>
                <w:tcPr>
                  <w:tcW w:w="894" w:type="dxa"/>
                  <w:tcBorders>
                    <w:tl2br w:val="nil"/>
                    <w:tr2bl w:val="nil"/>
                  </w:tcBorders>
                  <w:noWrap/>
                  <w:vAlign w:val="center"/>
                </w:tcPr>
                <w:p w14:paraId="4FC8BEC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kern w:val="0"/>
                      <w:sz w:val="18"/>
                      <w:szCs w:val="18"/>
                      <w:highlight w:val="none"/>
                      <w:lang w:val="en-US" w:eastAsia="zh-CN" w:bidi="ar"/>
                    </w:rPr>
                    <w:t>否</w:t>
                  </w:r>
                </w:p>
              </w:tc>
            </w:tr>
            <w:tr w14:paraId="7F90A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82" w:type="dxa"/>
                  <w:tcBorders>
                    <w:tl2br w:val="nil"/>
                    <w:tr2bl w:val="nil"/>
                  </w:tcBorders>
                  <w:noWrap/>
                  <w:vAlign w:val="center"/>
                </w:tcPr>
                <w:p w14:paraId="10C0A38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海洋</w:t>
                  </w:r>
                </w:p>
              </w:tc>
              <w:tc>
                <w:tcPr>
                  <w:tcW w:w="2194" w:type="dxa"/>
                  <w:tcBorders>
                    <w:tl2br w:val="nil"/>
                    <w:tr2bl w:val="nil"/>
                  </w:tcBorders>
                  <w:noWrap w:val="0"/>
                  <w:vAlign w:val="center"/>
                </w:tcPr>
                <w:p w14:paraId="67A6E66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直接向海排放污染物的海洋工程建设项目</w:t>
                  </w:r>
                </w:p>
              </w:tc>
              <w:tc>
                <w:tcPr>
                  <w:tcW w:w="2389" w:type="dxa"/>
                  <w:tcBorders>
                    <w:tl2br w:val="nil"/>
                    <w:tr2bl w:val="nil"/>
                  </w:tcBorders>
                  <w:noWrap/>
                  <w:vAlign w:val="center"/>
                </w:tcPr>
                <w:p w14:paraId="5E72F01A">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spacing w:val="2"/>
                      <w:kern w:val="0"/>
                      <w:sz w:val="18"/>
                      <w:szCs w:val="18"/>
                      <w:highlight w:val="none"/>
                    </w:rPr>
                    <w:t>本项目非海洋工程建设项目</w:t>
                  </w:r>
                </w:p>
              </w:tc>
              <w:tc>
                <w:tcPr>
                  <w:tcW w:w="894" w:type="dxa"/>
                  <w:tcBorders>
                    <w:tl2br w:val="nil"/>
                    <w:tr2bl w:val="nil"/>
                  </w:tcBorders>
                  <w:noWrap/>
                  <w:vAlign w:val="center"/>
                </w:tcPr>
                <w:p w14:paraId="77EE458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pacing w:val="2"/>
                      <w:kern w:val="0"/>
                      <w:sz w:val="18"/>
                      <w:szCs w:val="18"/>
                      <w:highlight w:val="none"/>
                    </w:rPr>
                  </w:pPr>
                  <w:r>
                    <w:rPr>
                      <w:rFonts w:hint="default" w:ascii="Times New Roman" w:hAnsi="Times New Roman" w:cs="Times New Roman"/>
                      <w:color w:val="auto"/>
                      <w:kern w:val="0"/>
                      <w:sz w:val="18"/>
                      <w:szCs w:val="18"/>
                      <w:highlight w:val="none"/>
                      <w:lang w:val="en-US" w:eastAsia="zh-CN" w:bidi="ar"/>
                    </w:rPr>
                    <w:t>否</w:t>
                  </w:r>
                </w:p>
              </w:tc>
            </w:tr>
          </w:tbl>
          <w:p w14:paraId="2A38733A">
            <w:pPr>
              <w:autoSpaceDE w:val="0"/>
              <w:autoSpaceDN w:val="0"/>
              <w:adjustRightInd w:val="0"/>
              <w:snapToGrid w:val="0"/>
              <w:jc w:val="center"/>
              <w:rPr>
                <w:rFonts w:hint="default" w:ascii="Times New Roman" w:hAnsi="Times New Roman" w:cs="Times New Roman"/>
                <w:color w:val="auto"/>
                <w:kern w:val="0"/>
                <w:szCs w:val="21"/>
                <w:highlight w:val="none"/>
              </w:rPr>
            </w:pPr>
          </w:p>
        </w:tc>
      </w:tr>
      <w:tr w14:paraId="0156E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382" w:type="dxa"/>
            <w:noWrap w:val="0"/>
            <w:vAlign w:val="center"/>
          </w:tcPr>
          <w:p w14:paraId="050A55D6">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6488" w:type="dxa"/>
            <w:gridSpan w:val="3"/>
            <w:noWrap w:val="0"/>
            <w:vAlign w:val="center"/>
          </w:tcPr>
          <w:p w14:paraId="4B3F1ACA">
            <w:pPr>
              <w:autoSpaceDE w:val="0"/>
              <w:autoSpaceDN w:val="0"/>
              <w:adjustRightInd w:val="0"/>
              <w:snapToGrid w:val="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《绥化市国土空间总体规划（2021-2035年）》</w:t>
            </w:r>
          </w:p>
        </w:tc>
      </w:tr>
      <w:tr w14:paraId="285D5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382" w:type="dxa"/>
            <w:noWrap w:val="0"/>
            <w:vAlign w:val="center"/>
          </w:tcPr>
          <w:p w14:paraId="321FCD8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14:paraId="5984461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6488" w:type="dxa"/>
            <w:gridSpan w:val="3"/>
            <w:noWrap w:val="0"/>
            <w:vAlign w:val="center"/>
          </w:tcPr>
          <w:p w14:paraId="2B75F8DF">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无</w:t>
            </w:r>
          </w:p>
        </w:tc>
      </w:tr>
      <w:tr w14:paraId="2247A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382" w:type="dxa"/>
            <w:noWrap w:val="0"/>
            <w:vAlign w:val="center"/>
          </w:tcPr>
          <w:p w14:paraId="3CAA67D2">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w:t>
            </w:r>
          </w:p>
          <w:p w14:paraId="7091EB50">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影响评价符合性分析</w:t>
            </w:r>
          </w:p>
        </w:tc>
        <w:tc>
          <w:tcPr>
            <w:tcW w:w="6488" w:type="dxa"/>
            <w:gridSpan w:val="3"/>
            <w:noWrap w:val="0"/>
            <w:vAlign w:val="center"/>
          </w:tcPr>
          <w:p w14:paraId="6F0BB22B">
            <w:pPr>
              <w:numPr>
                <w:ilvl w:val="0"/>
                <w:numId w:val="0"/>
              </w:numPr>
              <w:autoSpaceDE w:val="0"/>
              <w:autoSpaceDN w:val="0"/>
              <w:adjustRightInd w:val="0"/>
              <w:snapToGrid w:val="0"/>
              <w:spacing w:line="360" w:lineRule="auto"/>
              <w:jc w:val="left"/>
              <w:rPr>
                <w:rFonts w:hint="default" w:ascii="Times New Roman" w:hAnsi="Times New Roman" w:cs="Times New Roman"/>
                <w:color w:val="auto"/>
                <w:kern w:val="0"/>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SA"/>
              </w:rPr>
              <w:t>1、</w:t>
            </w:r>
            <w:r>
              <w:rPr>
                <w:rFonts w:hint="default" w:ascii="Times New Roman" w:hAnsi="Times New Roman" w:cs="Times New Roman"/>
                <w:color w:val="auto"/>
                <w:kern w:val="0"/>
                <w:szCs w:val="21"/>
                <w:highlight w:val="none"/>
                <w:lang w:val="en-US" w:eastAsia="zh-CN"/>
              </w:rPr>
              <w:t>与</w:t>
            </w:r>
            <w:r>
              <w:rPr>
                <w:rFonts w:hint="default" w:ascii="Times New Roman" w:hAnsi="Times New Roman" w:cs="Times New Roman"/>
                <w:color w:val="auto"/>
                <w:kern w:val="0"/>
                <w:szCs w:val="21"/>
                <w:highlight w:val="none"/>
                <w:lang w:eastAsia="zh-CN"/>
              </w:rPr>
              <w:t>《绥化市国土空间总体规划（2021-2035年）》符合性分析</w:t>
            </w:r>
          </w:p>
          <w:p w14:paraId="0209B824">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优化乡村居民点布局。按照“政府引导、农民主体、规划先行、有序推进”的原则，统筹考虑城镇化发展布局与乡村居民点体系调整，促进城乡融合发展。与现代乡村产业体系构建、传承农耕文明、打造乡愁承载空间，以及环境保护和生态修复相结合，优化乡村发展布局。遵循乡村传统肌理和格局，划定空间管控边界，优化配置农村基础设施和公共服务设施。以农村垃圾、污水治理和提升村容村貌为主攻方向，改善农村人居环境。</w:t>
            </w:r>
          </w:p>
          <w:p w14:paraId="48327295">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结合不同类型村庄的发展要求，全市乡村居民点分类空间发展指引分为集聚提升类、城郊融合类、特色保护类、搬迁撤并类四种类型。</w:t>
            </w:r>
          </w:p>
          <w:p w14:paraId="4D8647EA">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集聚提升类发展指引。主要指现有规模较大的中心村和其他仍将存续的一般村庄，占村庄类型的大多数，是乡村振兴的重点。科学确定村庄布局，在原有规模基础上有序推进改造提升，激活产业、优化环境，保护乡村风貌，建设宜居宜业的美丽村庄。</w:t>
            </w:r>
          </w:p>
          <w:p w14:paraId="74B66A92">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城郊融合类发展指引。主要指城市近郊区以及县城城关镇所在地的村庄。发挥村庄区位优势，加快城乡产业融合发展、基础设施互联互通、公共服务共建共享。位于城镇开发边界以内的村庄，纳入城镇国土空间规划统筹安排，不需单独编制村庄规划。</w:t>
            </w:r>
          </w:p>
          <w:p w14:paraId="0497C2BB">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特色保护类发展指引。主要指在村庄产业、文化、风貌等方面拥有特色资源，具有保留价值的村庄。具体包括历史文化名村、传统村落、少数民族特色村、特色景观旅游名村等自然历史文化特色资源丰富的村庄。统筹保护、利用与发展的关系，保持村庄特色的完整性、真实性和延续性，尊重原住居民生活形态和传统习惯，加快改善村庄基础设施和公共环境，发展乡村旅游和特色产业。</w:t>
            </w:r>
          </w:p>
          <w:p w14:paraId="463F0917">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搬迁撤并类发展指引。搬迁撤并类村庄分为必须划入类和引导划入类两种类型。将位于生存条件恶劣、生态环境脆弱、自然灾害频发等地区的村庄确定为必须划入类，因重大项目建设需要搬迁的村庄，以及人口流失特别严重的村庄确定为引导划入类。严格限制新建、扩建活动，重点突出生态保护与修复，加强建设用地增减挂钩、“空心房”整治、工矿废弃地复垦利用等项目安排。此类村庄可不单独编制村庄规划，在上位国土空间规划中制定村庄国土空间用途管制规则和建设要求，或编制村庄近期建设方案作为建设与管控指引。</w:t>
            </w:r>
          </w:p>
          <w:p w14:paraId="66C4A24F">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推进乡村一二三产业融合发展。推进区域发展特色化、农业生产现代化、一二三产融合化为目标，全面优化农业生产格局，构建形成与水土光等条件相匹配的现代农业发展格局。以稳定粮食生产为根本，重点推进农业现代化规模化生产。在保证生态系统稳定、水土平衡的前提下，大力推行节水农业，积极推进种养一体、农牧结合的农业生产方式。以农产品加工园区为主要依托，高起点、高标准、高水平创建标准化原料基地、集约化加工园区、体系化物流配送市场营销网络，并与新型城镇化、乡村振兴相结合，实现镇（城）区、园区、农区“三区互动”的融合发展先导区。推进农村一二三产业融合发展，促进农民就业增收和农业提质增效，促进城乡一体化发展。</w:t>
            </w:r>
          </w:p>
          <w:p w14:paraId="3CF65EB8">
            <w:pPr>
              <w:autoSpaceDE w:val="0"/>
              <w:autoSpaceDN w:val="0"/>
              <w:adjustRightInd w:val="0"/>
              <w:snapToGrid w:val="0"/>
              <w:spacing w:line="360" w:lineRule="auto"/>
              <w:ind w:firstLine="420" w:firstLineChars="200"/>
              <w:rPr>
                <w:rFonts w:hint="default" w:ascii="Times New Roman" w:hAnsi="Times New Roman" w:eastAsia="黑体" w:cs="Times New Roman"/>
                <w:highlight w:val="none"/>
                <w:lang w:val="en-US" w:eastAsia="zh-CN"/>
              </w:rPr>
            </w:pPr>
            <w:r>
              <w:rPr>
                <w:rFonts w:hint="default" w:ascii="Times New Roman" w:hAnsi="Times New Roman" w:cs="Times New Roman"/>
                <w:color w:val="auto"/>
                <w:kern w:val="0"/>
                <w:szCs w:val="21"/>
                <w:highlight w:val="none"/>
                <w:lang w:eastAsia="zh-CN"/>
              </w:rPr>
              <w:t>本项目位于黑龙江省绥化市青冈县连丰乡友好村三马架屯，用地性质为工业用地，符合《绥化市国土空间总体规划（2021-2035年）》。</w:t>
            </w:r>
          </w:p>
        </w:tc>
      </w:tr>
      <w:tr w14:paraId="72436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2" w:type="dxa"/>
            <w:noWrap w:val="0"/>
            <w:vAlign w:val="center"/>
          </w:tcPr>
          <w:p w14:paraId="6506ADEE">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6488" w:type="dxa"/>
            <w:gridSpan w:val="3"/>
            <w:noWrap w:val="0"/>
            <w:vAlign w:val="center"/>
          </w:tcPr>
          <w:p w14:paraId="0E193EBC">
            <w:p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1、</w:t>
            </w:r>
            <w:r>
              <w:rPr>
                <w:rFonts w:hint="default" w:ascii="Times New Roman" w:hAnsi="Times New Roman" w:cs="Times New Roman"/>
                <w:b/>
                <w:bCs/>
                <w:color w:val="auto"/>
                <w:kern w:val="0"/>
                <w:szCs w:val="21"/>
                <w:highlight w:val="none"/>
                <w:lang w:eastAsia="zh-CN"/>
              </w:rPr>
              <w:t>生态环境分区管控</w:t>
            </w:r>
            <w:r>
              <w:rPr>
                <w:rFonts w:hint="default" w:ascii="Times New Roman" w:hAnsi="Times New Roman" w:cs="Times New Roman"/>
                <w:b/>
                <w:bCs/>
                <w:color w:val="auto"/>
                <w:kern w:val="0"/>
                <w:szCs w:val="21"/>
                <w:highlight w:val="none"/>
              </w:rPr>
              <w:t>符合性分析</w:t>
            </w:r>
          </w:p>
          <w:p w14:paraId="13E90734">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黑龙江省生态环境分区管控平台出具的</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eastAsia="zh-CN"/>
              </w:rPr>
              <w:t>生态环境分区管控分析报告</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eastAsia="zh-CN"/>
              </w:rPr>
              <w:t>（见附件</w:t>
            </w:r>
            <w:r>
              <w:rPr>
                <w:rFonts w:hint="default" w:ascii="Times New Roman" w:hAnsi="Times New Roman" w:cs="Times New Roman"/>
                <w:color w:val="auto"/>
                <w:kern w:val="0"/>
                <w:szCs w:val="21"/>
                <w:highlight w:val="none"/>
                <w:lang w:val="en-US" w:eastAsia="zh-CN"/>
              </w:rPr>
              <w:t>3</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eastAsia="zh-CN"/>
              </w:rPr>
              <w:t>及《绥化市生态准入清单》（</w:t>
            </w:r>
            <w:r>
              <w:rPr>
                <w:rFonts w:hint="default" w:ascii="Times New Roman" w:hAnsi="Times New Roman" w:cs="Times New Roman"/>
                <w:color w:val="auto"/>
                <w:kern w:val="0"/>
                <w:szCs w:val="21"/>
                <w:highlight w:val="none"/>
                <w:lang w:val="en-US" w:eastAsia="zh-CN"/>
              </w:rPr>
              <w:t>2023版本</w:t>
            </w:r>
            <w:r>
              <w:rPr>
                <w:rFonts w:hint="default" w:ascii="Times New Roman" w:hAnsi="Times New Roman" w:cs="Times New Roman"/>
                <w:color w:val="auto"/>
                <w:kern w:val="0"/>
                <w:szCs w:val="21"/>
                <w:highlight w:val="none"/>
                <w:lang w:eastAsia="zh-CN"/>
              </w:rPr>
              <w:t>）、以及自然资源部办公厅《关于依据“三区三线”划定成果报批建设项目用地用海有关事宜的函》的划定成果</w:t>
            </w:r>
            <w:r>
              <w:rPr>
                <w:rFonts w:hint="default" w:ascii="Times New Roman" w:hAnsi="Times New Roman" w:cs="Times New Roman"/>
                <w:color w:val="auto"/>
                <w:kern w:val="0"/>
                <w:szCs w:val="21"/>
                <w:highlight w:val="none"/>
              </w:rPr>
              <w:t>规定，环境管控单元包括优先保护单元、重点管控单元和一般管控单元三类。</w:t>
            </w:r>
          </w:p>
          <w:p w14:paraId="3DFBA6E1">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本项目位于黑龙江省绥化市青冈县</w:t>
            </w:r>
            <w:r>
              <w:rPr>
                <w:rFonts w:hint="default" w:ascii="Times New Roman" w:hAnsi="Times New Roman" w:cs="Times New Roman"/>
                <w:color w:val="auto"/>
                <w:kern w:val="0"/>
                <w:szCs w:val="21"/>
                <w:highlight w:val="none"/>
                <w:lang w:eastAsia="zh-CN"/>
              </w:rPr>
              <w:t>连丰乡友好村三马架屯</w:t>
            </w:r>
            <w:r>
              <w:rPr>
                <w:rFonts w:hint="default" w:ascii="Times New Roman" w:hAnsi="Times New Roman" w:cs="Times New Roman"/>
                <w:color w:val="auto"/>
                <w:kern w:val="0"/>
                <w:szCs w:val="21"/>
                <w:highlight w:val="none"/>
              </w:rPr>
              <w:t>，区域属于</w:t>
            </w:r>
            <w:r>
              <w:rPr>
                <w:rFonts w:hint="default" w:ascii="Times New Roman" w:hAnsi="Times New Roman" w:cs="Times New Roman"/>
                <w:color w:val="auto"/>
                <w:kern w:val="0"/>
                <w:szCs w:val="21"/>
                <w:highlight w:val="none"/>
                <w:lang w:val="en-US" w:eastAsia="zh-CN"/>
              </w:rPr>
              <w:t>一般</w:t>
            </w:r>
            <w:r>
              <w:rPr>
                <w:rFonts w:hint="default" w:ascii="Times New Roman" w:hAnsi="Times New Roman" w:cs="Times New Roman"/>
                <w:color w:val="auto"/>
                <w:kern w:val="0"/>
                <w:szCs w:val="21"/>
                <w:highlight w:val="none"/>
              </w:rPr>
              <w:t>管控单元。</w:t>
            </w:r>
            <w:r>
              <w:rPr>
                <w:rFonts w:hint="default" w:ascii="Times New Roman" w:hAnsi="Times New Roman" w:cs="Times New Roman"/>
                <w:color w:val="auto"/>
                <w:kern w:val="0"/>
                <w:szCs w:val="21"/>
                <w:highlight w:val="none"/>
                <w:lang w:val="en-US" w:eastAsia="zh-CN"/>
              </w:rPr>
              <w:t>以生态环境保护与适度开发相结合，落实生态环境管控相关要求，重点加强农业、生活领域的污染治理，落实现行生态环境保护基本要求</w:t>
            </w:r>
            <w:r>
              <w:rPr>
                <w:rFonts w:hint="default" w:ascii="Times New Roman" w:hAnsi="Times New Roman" w:cs="Times New Roman"/>
                <w:color w:val="auto"/>
                <w:kern w:val="0"/>
                <w:szCs w:val="21"/>
                <w:highlight w:val="none"/>
              </w:rPr>
              <w:t>。</w:t>
            </w:r>
          </w:p>
          <w:p w14:paraId="7E74BC35">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生态保护红线：本项目位于黑龙江省绥化市青冈县</w:t>
            </w:r>
            <w:r>
              <w:rPr>
                <w:rFonts w:hint="default" w:ascii="Times New Roman" w:hAnsi="Times New Roman" w:cs="Times New Roman"/>
                <w:color w:val="auto"/>
                <w:szCs w:val="21"/>
                <w:highlight w:val="none"/>
                <w:lang w:eastAsia="zh-CN"/>
              </w:rPr>
              <w:t>连丰乡友好村三马架屯</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kern w:val="0"/>
                <w:szCs w:val="21"/>
                <w:highlight w:val="none"/>
                <w:lang w:eastAsia="zh-CN"/>
              </w:rPr>
              <w:t>厂区东侧、西侧</w:t>
            </w:r>
            <w:r>
              <w:rPr>
                <w:rFonts w:hint="default" w:ascii="Times New Roman" w:hAnsi="Times New Roman" w:cs="Times New Roman"/>
                <w:color w:val="auto"/>
                <w:kern w:val="0"/>
                <w:szCs w:val="21"/>
                <w:highlight w:val="none"/>
                <w:lang w:val="en-US" w:eastAsia="zh-CN"/>
              </w:rPr>
              <w:t>均有农户</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南侧为道路（隔路为居民区），</w:t>
            </w:r>
            <w:r>
              <w:rPr>
                <w:rFonts w:hint="default" w:ascii="Times New Roman" w:hAnsi="Times New Roman" w:cs="Times New Roman"/>
                <w:color w:val="auto"/>
                <w:kern w:val="0"/>
                <w:szCs w:val="21"/>
                <w:highlight w:val="none"/>
                <w:lang w:eastAsia="zh-CN"/>
              </w:rPr>
              <w:t>北侧为农田，</w:t>
            </w:r>
            <w:r>
              <w:rPr>
                <w:rFonts w:hint="default" w:ascii="Times New Roman" w:hAnsi="Times New Roman" w:cs="Times New Roman"/>
                <w:color w:val="auto"/>
                <w:kern w:val="0"/>
                <w:szCs w:val="21"/>
                <w:highlight w:val="none"/>
              </w:rPr>
              <w:t>不在生态保护红线内。</w:t>
            </w:r>
          </w:p>
          <w:p w14:paraId="7149DEA9">
            <w:pPr>
              <w:keepNext w:val="0"/>
              <w:keepLines w:val="0"/>
              <w:pageBreakBefore w:val="0"/>
              <w:widowControl/>
              <w:kinsoku/>
              <w:wordWrap/>
              <w:overflowPunct/>
              <w:topLinePunct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环境质量底线：</w:t>
            </w:r>
          </w:p>
          <w:p w14:paraId="1623DD5E">
            <w:pPr>
              <w:keepNext w:val="0"/>
              <w:keepLines w:val="0"/>
              <w:pageBreakBefore w:val="0"/>
              <w:widowControl/>
              <w:kinsoku/>
              <w:wordWrap/>
              <w:overflowPunct/>
              <w:topLinePunct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①大气</w:t>
            </w:r>
          </w:p>
          <w:p w14:paraId="178873E6">
            <w:pPr>
              <w:keepNext w:val="0"/>
              <w:keepLines w:val="0"/>
              <w:pageBreakBefore w:val="0"/>
              <w:widowControl/>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根据《202</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年绥化市环境质量年报》，绥化市环境质量现状为</w:t>
            </w:r>
            <w:r>
              <w:rPr>
                <w:rFonts w:hint="default" w:ascii="Times New Roman" w:hAnsi="Times New Roman" w:cs="Times New Roman"/>
                <w:color w:val="auto"/>
                <w:sz w:val="21"/>
                <w:szCs w:val="21"/>
                <w:highlight w:val="none"/>
                <w:lang w:eastAsia="zh-CN"/>
              </w:rPr>
              <w:t>不</w:t>
            </w:r>
            <w:r>
              <w:rPr>
                <w:rFonts w:hint="default" w:ascii="Times New Roman" w:hAnsi="Times New Roman" w:eastAsia="宋体" w:cs="Times New Roman"/>
                <w:color w:val="auto"/>
                <w:sz w:val="21"/>
                <w:szCs w:val="21"/>
                <w:highlight w:val="none"/>
              </w:rPr>
              <w:t>达标区，</w:t>
            </w:r>
            <w:r>
              <w:rPr>
                <w:rFonts w:hint="default" w:ascii="Times New Roman" w:hAnsi="Times New Roman" w:cs="Times New Roman"/>
                <w:color w:val="auto"/>
                <w:sz w:val="21"/>
                <w:szCs w:val="21"/>
                <w:highlight w:val="none"/>
                <w:lang w:eastAsia="zh-CN"/>
              </w:rPr>
              <w:t>超标因子为</w:t>
            </w:r>
            <w:r>
              <w:rPr>
                <w:rFonts w:hint="default" w:ascii="Times New Roman" w:hAnsi="Times New Roman" w:cs="Times New Roman"/>
                <w:color w:val="auto"/>
                <w:sz w:val="21"/>
                <w:szCs w:val="21"/>
                <w:highlight w:val="none"/>
                <w:lang w:val="en-US" w:eastAsia="zh-CN"/>
              </w:rPr>
              <w:t>PM</w:t>
            </w:r>
            <w:r>
              <w:rPr>
                <w:rFonts w:hint="default" w:ascii="Times New Roman" w:hAnsi="Times New Roman"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rPr>
              <w:t>，本项目运营期主要废气为锅炉烟气，</w:t>
            </w:r>
            <w:r>
              <w:rPr>
                <w:rFonts w:hint="default" w:ascii="Times New Roman" w:hAnsi="Times New Roman" w:eastAsia="宋体" w:cs="Times New Roman"/>
                <w:color w:val="auto"/>
                <w:sz w:val="21"/>
                <w:szCs w:val="21"/>
                <w:highlight w:val="none"/>
                <w:lang w:eastAsia="zh-CN"/>
              </w:rPr>
              <w:t>生物质锅炉产生</w:t>
            </w:r>
            <w:r>
              <w:rPr>
                <w:rFonts w:hint="default" w:ascii="Times New Roman" w:hAnsi="Times New Roman" w:eastAsia="宋体" w:cs="Times New Roman"/>
                <w:color w:val="auto"/>
                <w:sz w:val="21"/>
                <w:szCs w:val="21"/>
                <w:highlight w:val="none"/>
                <w:lang w:eastAsia="zh-CN"/>
              </w:rPr>
              <w:t>的烟气经</w:t>
            </w:r>
            <w:r>
              <w:rPr>
                <w:rFonts w:hint="default" w:ascii="Times New Roman" w:hAnsi="Times New Roman" w:cs="Times New Roman"/>
                <w:color w:val="auto"/>
                <w:sz w:val="21"/>
                <w:szCs w:val="21"/>
                <w:highlight w:val="none"/>
                <w:lang w:val="en-US" w:eastAsia="zh-CN"/>
              </w:rPr>
              <w:t>旋风+</w:t>
            </w:r>
            <w:r>
              <w:rPr>
                <w:rFonts w:hint="default" w:ascii="Times New Roman" w:hAnsi="Times New Roman"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eastAsia="zh-CN"/>
              </w:rPr>
              <w:t>处理后，</w:t>
            </w:r>
            <w:r>
              <w:rPr>
                <w:rFonts w:hint="default" w:ascii="Times New Roman" w:hAnsi="Times New Roman" w:eastAsia="宋体" w:cs="Times New Roman"/>
                <w:color w:val="auto"/>
                <w:sz w:val="21"/>
                <w:szCs w:val="21"/>
                <w:highlight w:val="none"/>
              </w:rPr>
              <w:t>通过</w:t>
            </w:r>
            <w:r>
              <w:rPr>
                <w:rFonts w:hint="default" w:ascii="Times New Roman" w:hAnsi="Times New Roman" w:eastAsia="宋体" w:cs="Times New Roman"/>
                <w:color w:val="auto"/>
                <w:sz w:val="21"/>
                <w:szCs w:val="21"/>
                <w:highlight w:val="none"/>
                <w:lang w:val="en-US" w:eastAsia="zh-CN"/>
              </w:rPr>
              <w:t>1根3</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m高烟囱排放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不会对大气环境质量现状造成不良影响，能够满足黑龙江省大气环境质量底线要求。</w:t>
            </w:r>
          </w:p>
          <w:p w14:paraId="2BFBB356">
            <w:pPr>
              <w:keepNext w:val="0"/>
              <w:keepLines w:val="0"/>
              <w:pageBreakBefore w:val="0"/>
              <w:widowControl/>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②水环境</w:t>
            </w:r>
          </w:p>
          <w:p w14:paraId="5ACF345E">
            <w:pPr>
              <w:keepNext w:val="0"/>
              <w:keepLines w:val="0"/>
              <w:pageBreakBefore w:val="0"/>
              <w:widowControl/>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本项目所在地表水流域为呼兰河，根据《202</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年绥化市环境质量年报》，绥望桥至榆林镇鞍山屯下断面水质达到水体功能区Ⅳ类水体规划目标，本项目所在区域水体目标为Ⅴ类，本项目废水污染物主要为pH、COD、氨氮、BOD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、SS，不会对地表水和地下水环境造成影响，因此不会对区域水环境造成影响，因此符合黑龙江省水环境质量底线要求。</w:t>
            </w:r>
          </w:p>
          <w:p w14:paraId="57EEAAB6">
            <w:pPr>
              <w:keepNext w:val="0"/>
              <w:keepLines w:val="0"/>
              <w:pageBreakBefore w:val="0"/>
              <w:widowControl/>
              <w:kinsoku/>
              <w:wordWrap/>
              <w:overflowPunct/>
              <w:topLinePunct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③土壤</w:t>
            </w:r>
          </w:p>
          <w:p w14:paraId="2BA38BCF">
            <w:pPr>
              <w:keepNext w:val="0"/>
              <w:keepLines w:val="0"/>
              <w:pageBreakBefore w:val="0"/>
              <w:widowControl/>
              <w:kinsoku/>
              <w:wordWrap/>
              <w:overflowPunct/>
              <w:topLinePunct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sz w:val="21"/>
                <w:szCs w:val="21"/>
                <w:highlight w:val="none"/>
              </w:rPr>
              <w:t>本项目选址不属于污染地块。本项目</w:t>
            </w:r>
            <w:r>
              <w:rPr>
                <w:rFonts w:hint="default" w:ascii="Times New Roman" w:hAnsi="Times New Roman" w:cs="Times New Roman"/>
                <w:color w:val="auto"/>
                <w:sz w:val="21"/>
                <w:szCs w:val="21"/>
                <w:highlight w:val="none"/>
                <w:lang w:eastAsia="zh-CN"/>
              </w:rPr>
              <w:t>不存在</w:t>
            </w:r>
            <w:r>
              <w:rPr>
                <w:rFonts w:hint="default" w:ascii="Times New Roman" w:hAnsi="Times New Roman" w:eastAsia="宋体" w:cs="Times New Roman"/>
                <w:color w:val="auto"/>
                <w:sz w:val="21"/>
                <w:szCs w:val="21"/>
                <w:highlight w:val="none"/>
              </w:rPr>
              <w:t>有毒有害物质渗漏、流失，</w:t>
            </w:r>
            <w:r>
              <w:rPr>
                <w:rFonts w:hint="default" w:ascii="Times New Roman" w:hAnsi="Times New Roman" w:cs="Times New Roman"/>
                <w:color w:val="auto"/>
                <w:sz w:val="21"/>
                <w:szCs w:val="21"/>
                <w:highlight w:val="none"/>
                <w:lang w:eastAsia="zh-CN"/>
              </w:rPr>
              <w:t>造成</w:t>
            </w:r>
            <w:r>
              <w:rPr>
                <w:rFonts w:hint="default" w:ascii="Times New Roman" w:hAnsi="Times New Roman" w:eastAsia="宋体" w:cs="Times New Roman"/>
                <w:color w:val="auto"/>
                <w:sz w:val="21"/>
                <w:szCs w:val="21"/>
                <w:highlight w:val="none"/>
              </w:rPr>
              <w:t>土壤受到污染</w:t>
            </w:r>
            <w:r>
              <w:rPr>
                <w:rFonts w:hint="default" w:ascii="Times New Roman" w:hAnsi="Times New Roman" w:cs="Times New Roman"/>
                <w:color w:val="auto"/>
                <w:sz w:val="21"/>
                <w:szCs w:val="21"/>
                <w:highlight w:val="none"/>
                <w:lang w:eastAsia="zh-CN"/>
              </w:rPr>
              <w:t>的情况</w:t>
            </w:r>
            <w:r>
              <w:rPr>
                <w:rFonts w:hint="default" w:ascii="Times New Roman" w:hAnsi="Times New Roman" w:eastAsia="宋体" w:cs="Times New Roman"/>
                <w:color w:val="auto"/>
                <w:sz w:val="21"/>
                <w:szCs w:val="21"/>
                <w:highlight w:val="none"/>
              </w:rPr>
              <w:t>，因此符合黑龙江省土壤环境风险一般管控区的管控要求。</w:t>
            </w:r>
          </w:p>
          <w:p w14:paraId="1C2B0973">
            <w:pPr>
              <w:autoSpaceDE w:val="0"/>
              <w:autoSpaceDN w:val="0"/>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资源利用上线：本项目水资源为一般管控区，土地资源为一般管控区。</w:t>
            </w:r>
            <w:r>
              <w:rPr>
                <w:rFonts w:hint="default" w:ascii="Times New Roman" w:hAnsi="Times New Roman" w:eastAsia="宋体" w:cs="Times New Roman"/>
                <w:color w:val="auto"/>
                <w:kern w:val="0"/>
                <w:szCs w:val="21"/>
                <w:highlight w:val="none"/>
                <w:lang w:val="en-US" w:eastAsia="zh-CN"/>
              </w:rPr>
              <w:t>供水水源为市政管网、供电电源为当地供电电网，用水水源及供电电源可靠，本项目资源消耗量相对于区域资源利用总量较小，符合资源利用上线要求。</w:t>
            </w:r>
          </w:p>
          <w:p w14:paraId="0ECB500D">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rPr>
              <w:t>表1-</w:t>
            </w:r>
            <w:r>
              <w:rPr>
                <w:rFonts w:hint="default" w:ascii="Times New Roman" w:hAnsi="Times New Roman" w:cs="Times New Roman"/>
                <w:b/>
                <w:bCs/>
                <w:color w:val="auto"/>
                <w:kern w:val="0"/>
                <w:szCs w:val="21"/>
                <w:highlight w:val="none"/>
                <w:lang w:val="en-US" w:eastAsia="zh-CN"/>
              </w:rPr>
              <w:t>1</w:t>
            </w:r>
            <w:r>
              <w:rPr>
                <w:rFonts w:hint="default" w:ascii="Times New Roman" w:hAnsi="Times New Roman" w:cs="Times New Roman"/>
                <w:b/>
                <w:bCs/>
                <w:color w:val="auto"/>
                <w:kern w:val="0"/>
                <w:szCs w:val="21"/>
                <w:highlight w:val="none"/>
              </w:rPr>
              <w:t xml:space="preserve"> </w:t>
            </w:r>
            <w:r>
              <w:rPr>
                <w:rFonts w:hint="default" w:ascii="Times New Roman" w:hAnsi="Times New Roman" w:cs="Times New Roman"/>
                <w:b/>
                <w:bCs/>
                <w:color w:val="auto"/>
                <w:kern w:val="0"/>
                <w:szCs w:val="21"/>
                <w:highlight w:val="none"/>
                <w:lang w:eastAsia="zh-CN"/>
              </w:rPr>
              <w:t>绥化市青冈县</w:t>
            </w:r>
            <w:r>
              <w:rPr>
                <w:rFonts w:hint="default" w:ascii="Times New Roman" w:hAnsi="Times New Roman" w:cs="Times New Roman"/>
                <w:b/>
                <w:bCs/>
                <w:color w:val="auto"/>
                <w:kern w:val="0"/>
                <w:szCs w:val="21"/>
                <w:highlight w:val="none"/>
              </w:rPr>
              <w:t>生态环境准入清单符合性分析</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10"/>
              <w:gridCol w:w="542"/>
              <w:gridCol w:w="531"/>
              <w:gridCol w:w="534"/>
              <w:gridCol w:w="2932"/>
              <w:gridCol w:w="1223"/>
            </w:tblGrid>
            <w:tr w14:paraId="7CFCB0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10" w:type="dxa"/>
                  <w:noWrap w:val="0"/>
                  <w:vAlign w:val="center"/>
                </w:tcPr>
                <w:p w14:paraId="25136BAA">
                  <w:pPr>
                    <w:adjustRightInd w:val="0"/>
                    <w:snapToGrid w:val="0"/>
                    <w:jc w:val="center"/>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管控单元编码</w:t>
                  </w:r>
                </w:p>
              </w:tc>
              <w:tc>
                <w:tcPr>
                  <w:tcW w:w="542" w:type="dxa"/>
                  <w:noWrap w:val="0"/>
                  <w:vAlign w:val="center"/>
                </w:tcPr>
                <w:p w14:paraId="7371DAD9">
                  <w:pPr>
                    <w:adjustRightInd w:val="0"/>
                    <w:snapToGrid w:val="0"/>
                    <w:jc w:val="center"/>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环境管控单元名称</w:t>
                  </w:r>
                </w:p>
              </w:tc>
              <w:tc>
                <w:tcPr>
                  <w:tcW w:w="531" w:type="dxa"/>
                  <w:noWrap w:val="0"/>
                  <w:vAlign w:val="center"/>
                </w:tcPr>
                <w:p w14:paraId="0213C81F">
                  <w:pPr>
                    <w:adjustRightInd w:val="0"/>
                    <w:snapToGrid w:val="0"/>
                    <w:jc w:val="center"/>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管控单元类别</w:t>
                  </w:r>
                </w:p>
              </w:tc>
              <w:tc>
                <w:tcPr>
                  <w:tcW w:w="3466" w:type="dxa"/>
                  <w:gridSpan w:val="2"/>
                  <w:noWrap w:val="0"/>
                  <w:vAlign w:val="center"/>
                </w:tcPr>
                <w:p w14:paraId="1B919ADF">
                  <w:pPr>
                    <w:adjustRightInd w:val="0"/>
                    <w:snapToGrid w:val="0"/>
                    <w:jc w:val="center"/>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管控要求</w:t>
                  </w:r>
                </w:p>
              </w:tc>
              <w:tc>
                <w:tcPr>
                  <w:tcW w:w="1223" w:type="dxa"/>
                  <w:noWrap w:val="0"/>
                  <w:vAlign w:val="center"/>
                </w:tcPr>
                <w:p w14:paraId="03F297F7">
                  <w:pPr>
                    <w:adjustRightInd w:val="0"/>
                    <w:snapToGrid w:val="0"/>
                    <w:jc w:val="center"/>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rPr>
                    <w:t>本项目情况</w:t>
                  </w:r>
                </w:p>
              </w:tc>
            </w:tr>
            <w:tr w14:paraId="129D11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34" w:hRule="atLeast"/>
                <w:jc w:val="center"/>
              </w:trPr>
              <w:tc>
                <w:tcPr>
                  <w:tcW w:w="510" w:type="dxa"/>
                  <w:noWrap w:val="0"/>
                  <w:vAlign w:val="center"/>
                </w:tcPr>
                <w:p w14:paraId="1AB20D1A">
                  <w:pPr>
                    <w:adjustRightInd w:val="0"/>
                    <w:snapToGrid w:val="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ZH23122330002</w:t>
                  </w:r>
                </w:p>
              </w:tc>
              <w:tc>
                <w:tcPr>
                  <w:tcW w:w="542" w:type="dxa"/>
                  <w:noWrap w:val="0"/>
                  <w:vAlign w:val="center"/>
                </w:tcPr>
                <w:p w14:paraId="2848F086">
                  <w:pPr>
                    <w:adjustRightInd w:val="0"/>
                    <w:snapToGrid w:val="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其他区域</w:t>
                  </w:r>
                </w:p>
              </w:tc>
              <w:tc>
                <w:tcPr>
                  <w:tcW w:w="531" w:type="dxa"/>
                  <w:noWrap w:val="0"/>
                  <w:vAlign w:val="center"/>
                </w:tcPr>
                <w:p w14:paraId="4F113083">
                  <w:pPr>
                    <w:adjustRightInd w:val="0"/>
                    <w:snapToGrid w:val="0"/>
                    <w:jc w:val="center"/>
                    <w:rPr>
                      <w:rFonts w:hint="default" w:ascii="Times New Roman" w:hAnsi="Times New Roman" w:cs="Times New Roman"/>
                      <w:snapToGrid w:val="0"/>
                      <w:color w:val="auto"/>
                      <w:kern w:val="0"/>
                      <w:sz w:val="18"/>
                      <w:szCs w:val="18"/>
                      <w:highlight w:val="none"/>
                    </w:rPr>
                  </w:pPr>
                  <w:r>
                    <w:rPr>
                      <w:rFonts w:hint="default" w:ascii="Times New Roman" w:hAnsi="Times New Roman" w:cs="Times New Roman"/>
                      <w:snapToGrid w:val="0"/>
                      <w:color w:val="auto"/>
                      <w:kern w:val="0"/>
                      <w:sz w:val="18"/>
                      <w:szCs w:val="18"/>
                      <w:highlight w:val="none"/>
                      <w:lang w:val="en-US" w:eastAsia="zh-CN"/>
                    </w:rPr>
                    <w:t>一般</w:t>
                  </w:r>
                  <w:r>
                    <w:rPr>
                      <w:rFonts w:hint="default" w:ascii="Times New Roman" w:hAnsi="Times New Roman" w:cs="Times New Roman"/>
                      <w:snapToGrid w:val="0"/>
                      <w:color w:val="auto"/>
                      <w:kern w:val="0"/>
                      <w:sz w:val="18"/>
                      <w:szCs w:val="18"/>
                      <w:highlight w:val="none"/>
                    </w:rPr>
                    <w:t>管控单元</w:t>
                  </w:r>
                </w:p>
              </w:tc>
              <w:tc>
                <w:tcPr>
                  <w:tcW w:w="534" w:type="dxa"/>
                  <w:noWrap w:val="0"/>
                  <w:vAlign w:val="center"/>
                </w:tcPr>
                <w:p w14:paraId="3AF22A00">
                  <w:pPr>
                    <w:pStyle w:val="7"/>
                    <w:spacing w:line="240" w:lineRule="auto"/>
                    <w:jc w:val="center"/>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空间布局约束</w:t>
                  </w:r>
                </w:p>
              </w:tc>
              <w:tc>
                <w:tcPr>
                  <w:tcW w:w="2932" w:type="dxa"/>
                  <w:noWrap w:val="0"/>
                  <w:vAlign w:val="center"/>
                </w:tcPr>
                <w:p w14:paraId="7B8EBB3E">
                  <w:pPr>
                    <w:widowControl/>
                    <w:jc w:val="center"/>
                    <w:rPr>
                      <w:rFonts w:hint="default" w:ascii="Times New Roman" w:hAnsi="Times New Roman" w:cs="Times New Roman"/>
                      <w:color w:val="auto"/>
                      <w:kern w:val="0"/>
                      <w:sz w:val="18"/>
                      <w:szCs w:val="18"/>
                      <w:highlight w:val="none"/>
                      <w:lang w:val="en-US" w:eastAsia="zh-CN" w:bidi="ar"/>
                    </w:rPr>
                  </w:pPr>
                  <w:r>
                    <w:rPr>
                      <w:rFonts w:hint="default" w:ascii="Times New Roman" w:hAnsi="Times New Roman" w:cs="Times New Roman"/>
                      <w:color w:val="auto"/>
                      <w:kern w:val="0"/>
                      <w:sz w:val="18"/>
                      <w:szCs w:val="18"/>
                      <w:highlight w:val="none"/>
                      <w:lang w:val="en-US" w:eastAsia="zh-CN" w:bidi="ar"/>
                    </w:rPr>
                    <w:t>执行  1.引导工业项目向开发区集中，促进产业集聚、资源集约、绿色发展。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223" w:type="dxa"/>
                  <w:noWrap w:val="0"/>
                  <w:vAlign w:val="center"/>
                </w:tcPr>
                <w:p w14:paraId="054841E7">
                  <w:pPr>
                    <w:pStyle w:val="7"/>
                    <w:spacing w:line="240" w:lineRule="auto"/>
                    <w:jc w:val="center"/>
                    <w:rPr>
                      <w:rFonts w:hint="default" w:ascii="Times New Roman" w:hAnsi="Times New Roman" w:eastAsia="宋体" w:cs="Times New Roman"/>
                      <w:b w:val="0"/>
                      <w:color w:val="auto"/>
                      <w:kern w:val="2"/>
                      <w:sz w:val="18"/>
                      <w:szCs w:val="18"/>
                      <w:highlight w:val="none"/>
                      <w:lang w:val="en-US" w:eastAsia="zh-CN" w:bidi="ar-SA"/>
                    </w:rPr>
                  </w:pPr>
                  <w:r>
                    <w:rPr>
                      <w:rFonts w:hint="default" w:ascii="Times New Roman" w:hAnsi="Times New Roman" w:cs="Times New Roman"/>
                      <w:b w:val="0"/>
                      <w:color w:val="auto"/>
                      <w:sz w:val="18"/>
                      <w:szCs w:val="18"/>
                      <w:highlight w:val="none"/>
                      <w:lang w:eastAsia="zh-CN"/>
                    </w:rPr>
                    <w:t>本项目为锅炉项目燃用生物质成型颗粒，不属于淘汰类，符合要求</w:t>
                  </w:r>
                </w:p>
              </w:tc>
            </w:tr>
          </w:tbl>
          <w:p w14:paraId="112C20B3">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因此，本项目符合“</w:t>
            </w:r>
            <w:r>
              <w:rPr>
                <w:rFonts w:hint="default" w:ascii="Times New Roman" w:hAnsi="Times New Roman" w:cs="Times New Roman"/>
                <w:color w:val="auto"/>
                <w:kern w:val="0"/>
                <w:szCs w:val="21"/>
                <w:highlight w:val="none"/>
                <w:lang w:eastAsia="zh-CN"/>
              </w:rPr>
              <w:t>生态环境分区管控</w:t>
            </w:r>
            <w:r>
              <w:rPr>
                <w:rFonts w:hint="default" w:ascii="Times New Roman" w:hAnsi="Times New Roman" w:cs="Times New Roman"/>
                <w:color w:val="auto"/>
                <w:kern w:val="0"/>
                <w:szCs w:val="21"/>
                <w:highlight w:val="none"/>
              </w:rPr>
              <w:t>”相关要求。</w:t>
            </w:r>
          </w:p>
          <w:p w14:paraId="3BF67247">
            <w:pPr>
              <w:autoSpaceDE w:val="0"/>
              <w:autoSpaceDN w:val="0"/>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2、选址合理性分析</w:t>
            </w:r>
          </w:p>
          <w:p w14:paraId="522993DC">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项目位于黑龙江省绥化市青冈县连丰乡友好村三马架屯，青冈县松江粘玉米加工有限公司</w:t>
            </w:r>
            <w:r>
              <w:rPr>
                <w:rFonts w:hint="default" w:ascii="Times New Roman" w:hAnsi="Times New Roman" w:cs="Times New Roman"/>
                <w:color w:val="auto"/>
                <w:szCs w:val="21"/>
                <w:highlight w:val="none"/>
                <w:lang w:eastAsia="zh-CN"/>
              </w:rPr>
              <w:t>内，厂区东侧、西侧均有农户，南侧为道路（隔路为居民区），北侧为农田</w:t>
            </w:r>
            <w:r>
              <w:rPr>
                <w:rFonts w:hint="default" w:ascii="Times New Roman" w:hAnsi="Times New Roman" w:cs="Times New Roman"/>
                <w:color w:val="auto"/>
                <w:kern w:val="0"/>
                <w:szCs w:val="21"/>
                <w:highlight w:val="none"/>
              </w:rPr>
              <w:t>。</w:t>
            </w:r>
          </w:p>
          <w:p w14:paraId="63727EE2">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w:t>
            </w:r>
            <w:r>
              <w:rPr>
                <w:rFonts w:hint="default" w:ascii="Times New Roman" w:hAnsi="Times New Roman" w:cs="Times New Roman"/>
                <w:color w:val="auto"/>
                <w:kern w:val="0"/>
                <w:szCs w:val="21"/>
                <w:highlight w:val="none"/>
                <w:lang w:eastAsia="zh-CN"/>
              </w:rPr>
              <w:t>在</w:t>
            </w:r>
            <w:r>
              <w:rPr>
                <w:rFonts w:hint="default" w:ascii="Times New Roman" w:hAnsi="Times New Roman" w:cs="Times New Roman"/>
                <w:color w:val="auto"/>
                <w:kern w:val="0"/>
                <w:szCs w:val="21"/>
                <w:highlight w:val="none"/>
                <w:lang w:val="en-US" w:eastAsia="zh-CN"/>
              </w:rPr>
              <w:t>租赁厂房建设</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所在地地势平坦，厂区地理位置交通便利，基础设施齐全，与周边环境协调。项目不在风景名胜区、自然保护区、水源保护区及其他需要特别保护的区域内，没有明显的环境制约因素，项目选址合理。</w:t>
            </w:r>
          </w:p>
          <w:p w14:paraId="422E1878">
            <w:pPr>
              <w:autoSpaceDE w:val="0"/>
              <w:autoSpaceDN w:val="0"/>
              <w:adjustRightInd w:val="0"/>
              <w:snapToGrid w:val="0"/>
              <w:spacing w:line="360" w:lineRule="auto"/>
              <w:ind w:firstLine="422" w:firstLineChars="200"/>
              <w:rPr>
                <w:rFonts w:hint="default" w:ascii="Times New Roman" w:hAnsi="Times New Roman" w:cs="Times New Roman"/>
                <w:color w:val="auto"/>
                <w:highlight w:val="none"/>
              </w:rPr>
            </w:pPr>
            <w:r>
              <w:rPr>
                <w:rFonts w:hint="default" w:ascii="Times New Roman" w:hAnsi="Times New Roman" w:cs="Times New Roman"/>
                <w:b/>
                <w:bCs/>
                <w:color w:val="auto"/>
                <w:kern w:val="0"/>
                <w:szCs w:val="21"/>
                <w:highlight w:val="none"/>
              </w:rPr>
              <w:t>3、产业政策符合性</w:t>
            </w:r>
          </w:p>
          <w:p w14:paraId="240534B3">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eastAsia="宋体" w:cs="Times New Roman"/>
                <w:b w:val="0"/>
                <w:bCs w:val="0"/>
                <w:color w:val="auto"/>
                <w:sz w:val="21"/>
                <w:szCs w:val="21"/>
                <w:highlight w:val="none"/>
                <w:lang w:val="en-US" w:eastAsia="zh-CN"/>
              </w:rPr>
              <w:t>根据国家发展和改革委员会颁布的《产业结构调整指导目录（2024年本）》，</w:t>
            </w:r>
            <w:r>
              <w:rPr>
                <w:rFonts w:hint="default" w:ascii="Times New Roman" w:hAnsi="Times New Roman" w:cs="Times New Roman"/>
                <w:b w:val="0"/>
                <w:bCs w:val="0"/>
                <w:color w:val="auto"/>
                <w:sz w:val="21"/>
                <w:szCs w:val="21"/>
                <w:highlight w:val="none"/>
                <w:lang w:val="en-US" w:eastAsia="zh-CN"/>
              </w:rPr>
              <w:t>不属于“达不到超低排放要求的煤电机组（采用特殊炉型的机组除外）和燃煤锅炉”、“每小时 35 蒸吨及以下固定炉排式生物质锅炉”、“固定炉排燃煤锅炉”因此</w:t>
            </w:r>
            <w:r>
              <w:rPr>
                <w:rFonts w:hint="default" w:ascii="Times New Roman" w:hAnsi="Times New Roman" w:eastAsia="宋体" w:cs="Times New Roman"/>
                <w:b w:val="0"/>
                <w:bCs w:val="0"/>
                <w:color w:val="auto"/>
                <w:sz w:val="21"/>
                <w:szCs w:val="21"/>
                <w:highlight w:val="none"/>
                <w:lang w:val="en-US" w:eastAsia="zh-CN"/>
              </w:rPr>
              <w:t>本项目不属于限制类和淘汰类，属于允许类项目，符合国家产业政策。</w:t>
            </w:r>
          </w:p>
          <w:p w14:paraId="6DA39175">
            <w:pPr>
              <w:autoSpaceDE w:val="0"/>
              <w:autoSpaceDN w:val="0"/>
              <w:adjustRightInd w:val="0"/>
              <w:snapToGrid w:val="0"/>
              <w:spacing w:line="360" w:lineRule="auto"/>
              <w:ind w:firstLine="422" w:firstLineChars="200"/>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highlight w:val="none"/>
                <w:lang w:val="en-US" w:eastAsia="zh-CN"/>
              </w:rPr>
              <w:t>4、</w:t>
            </w:r>
            <w:r>
              <w:rPr>
                <w:rFonts w:hint="default" w:ascii="Times New Roman" w:hAnsi="Times New Roman" w:cs="Times New Roman"/>
                <w:b/>
                <w:bCs/>
                <w:color w:val="auto"/>
                <w:kern w:val="0"/>
                <w:szCs w:val="21"/>
                <w:highlight w:val="none"/>
              </w:rPr>
              <w:t>项目与《黑龙江省大气污染防治条例》</w:t>
            </w:r>
            <w:r>
              <w:rPr>
                <w:rFonts w:hint="default" w:ascii="Times New Roman" w:hAnsi="Times New Roman" w:cs="Times New Roman"/>
                <w:b/>
                <w:bCs/>
                <w:color w:val="auto"/>
                <w:kern w:val="0"/>
                <w:szCs w:val="21"/>
                <w:highlight w:val="none"/>
              </w:rPr>
              <w:t>（2018年12月27日黑龙江省第十三届人民代表大会常务委员会第八次会议修正</w:t>
            </w:r>
            <w:r>
              <w:rPr>
                <w:rFonts w:hint="default" w:ascii="Times New Roman" w:hAnsi="Times New Roman" w:cs="Times New Roman"/>
                <w:b/>
                <w:bCs/>
                <w:color w:val="auto"/>
                <w:kern w:val="0"/>
                <w:szCs w:val="21"/>
                <w:highlight w:val="none"/>
                <w:lang w:eastAsia="zh-CN"/>
              </w:rPr>
              <w:t>版</w:t>
            </w:r>
            <w:r>
              <w:rPr>
                <w:rFonts w:hint="default" w:ascii="Times New Roman" w:hAnsi="Times New Roman" w:cs="Times New Roman"/>
                <w:b/>
                <w:bCs/>
                <w:color w:val="auto"/>
                <w:kern w:val="0"/>
                <w:szCs w:val="21"/>
                <w:highlight w:val="none"/>
              </w:rPr>
              <w:t>）</w:t>
            </w:r>
            <w:r>
              <w:rPr>
                <w:rFonts w:hint="default" w:ascii="Times New Roman" w:hAnsi="Times New Roman" w:cs="Times New Roman"/>
                <w:b/>
                <w:bCs/>
                <w:color w:val="auto"/>
                <w:kern w:val="0"/>
                <w:szCs w:val="21"/>
                <w:highlight w:val="none"/>
              </w:rPr>
              <w:t>符合性分析</w:t>
            </w:r>
          </w:p>
          <w:p w14:paraId="0A46ADB1">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《黑龙江省大气污染防治条例》于2017年1月20日黑龙江省第十二届人民代表大会第六次会议通过，2017年5月1日实施。在条例中“第三章 大气污染防治措施，第一节 燃煤污染防治”中“第三十二条要求燃煤供热锅炉以及其他燃煤单位，应当采用清洁生产工艺，配套建设除尘、脱硫、脱硝等装置或者采用技术改造等措施，减少大气污染物的产生和排放，排放的大气污染物应当达到规定标准。”，“第三十三条要求设区的市级城市建成区内，禁止新建额定蒸发量低于每小时二十吨或者额定功率低于十四兆瓦的燃煤锅炉”，“第三十五条要求设区的市级人民政府和县级人民政府应当积极推进棚户区改造，推行热电联产和区域锅炉等集中供热方式，逐步提高集中供热比例，制定计划将应当淘汰的分散燃煤锅炉供热区域纳入集中供热管网覆盖范围，并负责组织实施。在集中供热管网未覆盖的区域，推广使用高效节能环保型锅炉或者进行锅炉高效除尘改造，或者使用新能源、清洁能源供热。”</w:t>
            </w:r>
          </w:p>
          <w:p w14:paraId="1D2E6407">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本项目新建1台</w:t>
            </w:r>
            <w:r>
              <w:rPr>
                <w:rFonts w:hint="default" w:ascii="Times New Roman" w:hAnsi="Times New Roman" w:cs="Times New Roman"/>
                <w:color w:val="auto"/>
                <w:kern w:val="0"/>
                <w:szCs w:val="21"/>
                <w:highlight w:val="none"/>
                <w:lang w:val="en-US" w:eastAsia="zh-CN"/>
              </w:rPr>
              <w:t>3t/h</w:t>
            </w:r>
            <w:r>
              <w:rPr>
                <w:rFonts w:hint="default" w:ascii="Times New Roman" w:hAnsi="Times New Roman" w:cs="Times New Roman"/>
                <w:color w:val="auto"/>
                <w:kern w:val="0"/>
                <w:szCs w:val="21"/>
                <w:highlight w:val="none"/>
              </w:rPr>
              <w:t>燃</w:t>
            </w:r>
            <w:r>
              <w:rPr>
                <w:rFonts w:hint="default" w:ascii="Times New Roman" w:hAnsi="Times New Roman" w:cs="Times New Roman"/>
                <w:color w:val="auto"/>
                <w:kern w:val="0"/>
                <w:szCs w:val="21"/>
                <w:highlight w:val="none"/>
                <w:lang w:eastAsia="zh-CN"/>
              </w:rPr>
              <w:t>生物质</w:t>
            </w:r>
            <w:r>
              <w:rPr>
                <w:rFonts w:hint="default" w:ascii="Times New Roman" w:hAnsi="Times New Roman" w:cs="Times New Roman"/>
                <w:color w:val="auto"/>
                <w:kern w:val="0"/>
                <w:szCs w:val="21"/>
                <w:highlight w:val="none"/>
              </w:rPr>
              <w:t>锅炉</w:t>
            </w:r>
            <w:r>
              <w:rPr>
                <w:rFonts w:hint="default" w:ascii="Times New Roman" w:hAnsi="Times New Roman" w:cs="Times New Roman"/>
                <w:color w:val="auto"/>
                <w:kern w:val="0"/>
                <w:szCs w:val="21"/>
                <w:highlight w:val="none"/>
                <w:lang w:eastAsia="zh-CN"/>
              </w:rPr>
              <w:t>仅用于生产供热</w:t>
            </w:r>
            <w:r>
              <w:rPr>
                <w:rFonts w:hint="default" w:ascii="Times New Roman" w:hAnsi="Times New Roman" w:cs="Times New Roman"/>
                <w:color w:val="auto"/>
                <w:kern w:val="0"/>
                <w:szCs w:val="21"/>
                <w:highlight w:val="none"/>
              </w:rPr>
              <w:t>，锅炉烟气</w:t>
            </w:r>
            <w:r>
              <w:rPr>
                <w:rFonts w:hint="default" w:ascii="Times New Roman" w:hAnsi="Times New Roman" w:cs="Times New Roman"/>
                <w:color w:val="auto"/>
                <w:kern w:val="0"/>
                <w:szCs w:val="21"/>
                <w:highlight w:val="none"/>
                <w:lang w:eastAsia="zh-CN"/>
              </w:rPr>
              <w:t>经</w:t>
            </w:r>
            <w:r>
              <w:rPr>
                <w:rFonts w:hint="default" w:ascii="Times New Roman" w:hAnsi="Times New Roman" w:cs="Times New Roman"/>
                <w:color w:val="auto"/>
                <w:kern w:val="0"/>
                <w:szCs w:val="21"/>
                <w:highlight w:val="none"/>
                <w:lang w:val="en-US" w:eastAsia="zh-CN"/>
              </w:rPr>
              <w:t>旋风+</w:t>
            </w:r>
            <w:r>
              <w:rPr>
                <w:rFonts w:hint="default" w:ascii="Times New Roman" w:hAnsi="Times New Roman" w:cs="Times New Roman"/>
                <w:color w:val="auto"/>
                <w:kern w:val="0"/>
                <w:szCs w:val="21"/>
                <w:highlight w:val="none"/>
                <w:lang w:val="en-US" w:eastAsia="zh-CN"/>
              </w:rPr>
              <w:t>布袋除尘器</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处理效率99.7%</w:t>
            </w:r>
            <w:r>
              <w:rPr>
                <w:rFonts w:hint="default" w:ascii="Times New Roman" w:hAnsi="Times New Roman" w:cs="Times New Roman"/>
                <w:color w:val="auto"/>
                <w:kern w:val="0"/>
                <w:szCs w:val="21"/>
                <w:highlight w:val="none"/>
                <w:lang w:eastAsia="zh-CN"/>
              </w:rPr>
              <w:t>）处理后排放，</w:t>
            </w:r>
            <w:r>
              <w:rPr>
                <w:rFonts w:hint="default" w:ascii="Times New Roman" w:hAnsi="Times New Roman" w:cs="Times New Roman"/>
                <w:color w:val="auto"/>
                <w:kern w:val="0"/>
                <w:szCs w:val="21"/>
                <w:highlight w:val="none"/>
              </w:rPr>
              <w:t>满足《锅炉大气污染排放标准》（GB13271-2014）表</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燃煤锅炉</w:t>
            </w:r>
            <w:r>
              <w:rPr>
                <w:rFonts w:hint="default" w:ascii="Times New Roman" w:hAnsi="Times New Roman" w:cs="Times New Roman"/>
                <w:color w:val="auto"/>
                <w:kern w:val="0"/>
                <w:szCs w:val="21"/>
                <w:highlight w:val="none"/>
                <w:lang w:eastAsia="zh-CN"/>
              </w:rPr>
              <w:t>特别排放</w:t>
            </w:r>
            <w:r>
              <w:rPr>
                <w:rFonts w:hint="default" w:ascii="Times New Roman" w:hAnsi="Times New Roman" w:cs="Times New Roman"/>
                <w:color w:val="auto"/>
                <w:kern w:val="0"/>
                <w:szCs w:val="21"/>
                <w:highlight w:val="none"/>
              </w:rPr>
              <w:t>浓度限值。</w:t>
            </w:r>
          </w:p>
          <w:p w14:paraId="4429AD4D">
            <w:pPr>
              <w:autoSpaceDE w:val="0"/>
              <w:autoSpaceDN w:val="0"/>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综上，本项目的建设符合《黑龙江省大气污染防治条例》的环境管理要求。</w:t>
            </w:r>
          </w:p>
          <w:p w14:paraId="1D2C0D31">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5、</w:t>
            </w:r>
            <w:r>
              <w:rPr>
                <w:rFonts w:hint="default" w:ascii="Times New Roman" w:hAnsi="Times New Roman" w:eastAsia="宋体" w:cs="Times New Roman"/>
                <w:b/>
                <w:bCs/>
                <w:color w:val="auto"/>
                <w:kern w:val="0"/>
                <w:szCs w:val="21"/>
                <w:highlight w:val="none"/>
                <w:lang w:val="en-US" w:eastAsia="zh-CN"/>
              </w:rPr>
              <w:t>与《黑龙江省大气污染防治条例》</w:t>
            </w:r>
            <w:r>
              <w:rPr>
                <w:rFonts w:hint="default" w:ascii="Times New Roman" w:hAnsi="Times New Roman" w:cs="Times New Roman"/>
                <w:b/>
                <w:bCs/>
                <w:color w:val="auto"/>
                <w:kern w:val="0"/>
                <w:szCs w:val="21"/>
                <w:highlight w:val="none"/>
                <w:lang w:val="en-US" w:eastAsia="zh-CN"/>
              </w:rPr>
              <w:t>符合性分析</w:t>
            </w:r>
          </w:p>
          <w:p w14:paraId="16450A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cs="Times New Roman"/>
                <w:b/>
                <w:bCs/>
                <w:color w:val="auto"/>
                <w:kern w:val="0"/>
                <w:szCs w:val="21"/>
                <w:highlight w:val="none"/>
                <w:lang w:eastAsia="zh-CN"/>
              </w:rPr>
              <w:t>表</w:t>
            </w:r>
            <w:r>
              <w:rPr>
                <w:rFonts w:hint="default" w:ascii="Times New Roman" w:hAnsi="Times New Roman" w:cs="Times New Roman"/>
                <w:b/>
                <w:bCs/>
                <w:color w:val="auto"/>
                <w:kern w:val="0"/>
                <w:szCs w:val="21"/>
                <w:highlight w:val="none"/>
                <w:lang w:val="en-US" w:eastAsia="zh-CN"/>
              </w:rPr>
              <w:t xml:space="preserve">1-6 </w:t>
            </w:r>
            <w:r>
              <w:rPr>
                <w:rFonts w:hint="default" w:ascii="Times New Roman" w:hAnsi="Times New Roman" w:eastAsia="宋体" w:cs="Times New Roman"/>
                <w:b/>
                <w:bCs/>
                <w:color w:val="auto"/>
                <w:kern w:val="0"/>
                <w:szCs w:val="21"/>
                <w:highlight w:val="none"/>
                <w:lang w:val="en-US" w:eastAsia="zh-CN"/>
              </w:rPr>
              <w:t>与《黑龙江省大气污染防治条例》</w:t>
            </w:r>
            <w:r>
              <w:rPr>
                <w:rFonts w:hint="default" w:ascii="Times New Roman" w:hAnsi="Times New Roman" w:cs="Times New Roman"/>
                <w:b/>
                <w:bCs/>
                <w:color w:val="auto"/>
                <w:kern w:val="0"/>
                <w:szCs w:val="21"/>
                <w:highlight w:val="none"/>
                <w:lang w:val="en-US" w:eastAsia="zh-CN"/>
              </w:rPr>
              <w:t>符合性分析</w:t>
            </w:r>
          </w:p>
          <w:tbl>
            <w:tblPr>
              <w:tblStyle w:val="1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8"/>
              <w:gridCol w:w="1933"/>
            </w:tblGrid>
            <w:tr w14:paraId="5F00BA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8" w:type="dxa"/>
                  <w:tcBorders>
                    <w:tl2br w:val="nil"/>
                    <w:tr2bl w:val="nil"/>
                  </w:tcBorders>
                  <w:noWrap w:val="0"/>
                  <w:vAlign w:val="center"/>
                </w:tcPr>
                <w:p w14:paraId="7A9C6D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eastAsia="宋体" w:cs="Times New Roman"/>
                      <w:color w:val="auto"/>
                      <w:kern w:val="0"/>
                      <w:sz w:val="18"/>
                      <w:szCs w:val="18"/>
                      <w:highlight w:val="none"/>
                      <w:vertAlign w:val="baseline"/>
                      <w:lang w:val="en-US" w:eastAsia="zh-CN"/>
                    </w:rPr>
                    <w:t>要求</w:t>
                  </w:r>
                </w:p>
              </w:tc>
              <w:tc>
                <w:tcPr>
                  <w:tcW w:w="1933" w:type="dxa"/>
                  <w:tcBorders>
                    <w:tl2br w:val="nil"/>
                    <w:tr2bl w:val="nil"/>
                  </w:tcBorders>
                  <w:noWrap w:val="0"/>
                  <w:vAlign w:val="center"/>
                </w:tcPr>
                <w:p w14:paraId="143E84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eastAsia="宋体" w:cs="Times New Roman"/>
                      <w:color w:val="auto"/>
                      <w:kern w:val="0"/>
                      <w:sz w:val="18"/>
                      <w:szCs w:val="18"/>
                      <w:highlight w:val="none"/>
                      <w:vertAlign w:val="baseline"/>
                      <w:lang w:val="en-US" w:eastAsia="zh-CN"/>
                    </w:rPr>
                    <w:t>本项目符合性分析</w:t>
                  </w:r>
                </w:p>
              </w:tc>
            </w:tr>
            <w:tr w14:paraId="4DDD3C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38" w:type="dxa"/>
                  <w:tcBorders>
                    <w:tl2br w:val="nil"/>
                    <w:tr2bl w:val="nil"/>
                  </w:tcBorders>
                  <w:noWrap w:val="0"/>
                  <w:vAlign w:val="center"/>
                </w:tcPr>
                <w:p w14:paraId="3A2CA9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第八十九条违反本条例规定，在重点区域的高污染燃料禁燃区内新建、扩建燃用高污染燃料的设施，或者未按照规定停止燃用高污染燃料的，由县级以上环境保护主管部门没收燃用高污染燃料的设施，并处二万元以上十万元以下的罚款。</w:t>
                  </w:r>
                </w:p>
              </w:tc>
              <w:tc>
                <w:tcPr>
                  <w:tcW w:w="1933" w:type="dxa"/>
                  <w:tcBorders>
                    <w:tl2br w:val="nil"/>
                    <w:tr2bl w:val="nil"/>
                  </w:tcBorders>
                  <w:noWrap w:val="0"/>
                  <w:vAlign w:val="center"/>
                </w:tcPr>
                <w:p w14:paraId="6EA00B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本项目生产用热采用3t/h蒸汽锅炉，燃料为生物质颗粒。</w:t>
                  </w:r>
                </w:p>
              </w:tc>
            </w:tr>
          </w:tbl>
          <w:p w14:paraId="04728C9A">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kern w:val="0"/>
                <w:szCs w:val="21"/>
                <w:highlight w:val="none"/>
                <w:lang w:val="en-US" w:eastAsia="zh-CN"/>
              </w:rPr>
            </w:pPr>
          </w:p>
          <w:p w14:paraId="2F707823">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6、</w:t>
            </w:r>
            <w:r>
              <w:rPr>
                <w:rFonts w:hint="default" w:ascii="Times New Roman" w:hAnsi="Times New Roman" w:eastAsia="宋体" w:cs="Times New Roman"/>
                <w:b/>
                <w:bCs/>
                <w:color w:val="auto"/>
                <w:kern w:val="0"/>
                <w:szCs w:val="21"/>
                <w:highlight w:val="none"/>
                <w:lang w:val="en-US" w:eastAsia="zh-CN"/>
              </w:rPr>
              <w:t>与《环境空气细颗粒物污染防治技术政策》</w:t>
            </w:r>
            <w:r>
              <w:rPr>
                <w:rFonts w:hint="default" w:ascii="Times New Roman" w:hAnsi="Times New Roman" w:cs="Times New Roman"/>
                <w:b/>
                <w:bCs/>
                <w:color w:val="auto"/>
                <w:kern w:val="0"/>
                <w:szCs w:val="21"/>
                <w:highlight w:val="none"/>
                <w:lang w:val="en-US" w:eastAsia="zh-CN"/>
              </w:rPr>
              <w:t>符合性分析</w:t>
            </w:r>
          </w:p>
          <w:p w14:paraId="537D4F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Cs w:val="21"/>
                <w:highlight w:val="none"/>
                <w:vertAlign w:val="baseline"/>
                <w:lang w:val="en-US" w:eastAsia="zh-CN"/>
              </w:rPr>
            </w:pPr>
            <w:r>
              <w:rPr>
                <w:rFonts w:hint="default" w:ascii="Times New Roman" w:hAnsi="Times New Roman" w:cs="Times New Roman"/>
                <w:b/>
                <w:bCs/>
                <w:color w:val="auto"/>
                <w:kern w:val="0"/>
                <w:szCs w:val="21"/>
                <w:highlight w:val="none"/>
                <w:lang w:eastAsia="zh-CN"/>
              </w:rPr>
              <w:t>表</w:t>
            </w:r>
            <w:r>
              <w:rPr>
                <w:rFonts w:hint="default" w:ascii="Times New Roman" w:hAnsi="Times New Roman" w:cs="Times New Roman"/>
                <w:b/>
                <w:bCs/>
                <w:color w:val="auto"/>
                <w:kern w:val="0"/>
                <w:szCs w:val="21"/>
                <w:highlight w:val="none"/>
                <w:lang w:val="en-US" w:eastAsia="zh-CN"/>
              </w:rPr>
              <w:t>1-7 与《环境空气细颗粒物污染防治技术政策》符合性分析</w:t>
            </w:r>
          </w:p>
          <w:tbl>
            <w:tblPr>
              <w:tblStyle w:val="1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38"/>
              <w:gridCol w:w="1933"/>
            </w:tblGrid>
            <w:tr w14:paraId="14059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8" w:type="dxa"/>
                  <w:tcBorders>
                    <w:tl2br w:val="nil"/>
                    <w:tr2bl w:val="nil"/>
                  </w:tcBorders>
                  <w:noWrap w:val="0"/>
                  <w:vAlign w:val="center"/>
                </w:tcPr>
                <w:p w14:paraId="08229E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eastAsia="宋体" w:cs="Times New Roman"/>
                      <w:color w:val="auto"/>
                      <w:kern w:val="0"/>
                      <w:sz w:val="18"/>
                      <w:szCs w:val="18"/>
                      <w:highlight w:val="none"/>
                      <w:vertAlign w:val="baseline"/>
                      <w:lang w:val="en-US" w:eastAsia="zh-CN"/>
                    </w:rPr>
                    <w:t>要求</w:t>
                  </w:r>
                </w:p>
              </w:tc>
              <w:tc>
                <w:tcPr>
                  <w:tcW w:w="1933" w:type="dxa"/>
                  <w:tcBorders>
                    <w:tl2br w:val="nil"/>
                    <w:tr2bl w:val="nil"/>
                  </w:tcBorders>
                  <w:noWrap w:val="0"/>
                  <w:vAlign w:val="center"/>
                </w:tcPr>
                <w:p w14:paraId="38EBF2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bidi="ar-SA"/>
                    </w:rPr>
                  </w:pPr>
                  <w:r>
                    <w:rPr>
                      <w:rFonts w:hint="default" w:ascii="Times New Roman" w:hAnsi="Times New Roman" w:eastAsia="宋体" w:cs="Times New Roman"/>
                      <w:color w:val="auto"/>
                      <w:kern w:val="0"/>
                      <w:sz w:val="18"/>
                      <w:szCs w:val="18"/>
                      <w:highlight w:val="none"/>
                      <w:vertAlign w:val="baseline"/>
                      <w:lang w:val="en-US" w:eastAsia="zh-CN"/>
                    </w:rPr>
                    <w:t>本项目符合性分析</w:t>
                  </w:r>
                </w:p>
              </w:tc>
            </w:tr>
            <w:tr w14:paraId="0DEC6C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8" w:type="dxa"/>
                  <w:tcBorders>
                    <w:tl2br w:val="nil"/>
                    <w:tr2bl w:val="nil"/>
                  </w:tcBorders>
                  <w:noWrap w:val="0"/>
                  <w:vAlign w:val="center"/>
                </w:tcPr>
                <w:p w14:paraId="7A60B4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（十一）应加强对各类污染源的监管，确保污染治理设施稳定运行，切实落实企业环保责任。鼓励采用低能耗、低污染的生产工艺，提高各个行业的清洁生产水平，降低污染物产生量。</w:t>
                  </w:r>
                </w:p>
              </w:tc>
              <w:tc>
                <w:tcPr>
                  <w:tcW w:w="1933" w:type="dxa"/>
                  <w:tcBorders>
                    <w:tl2br w:val="nil"/>
                    <w:tr2bl w:val="nil"/>
                  </w:tcBorders>
                  <w:noWrap w:val="0"/>
                  <w:vAlign w:val="center"/>
                </w:tcPr>
                <w:p w14:paraId="332645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锅炉产生的烟气经</w:t>
                  </w:r>
                  <w:r>
                    <w:rPr>
                      <w:rFonts w:hint="default" w:ascii="Times New Roman" w:hAnsi="Times New Roman" w:cs="Times New Roman"/>
                      <w:color w:val="auto"/>
                      <w:kern w:val="0"/>
                      <w:sz w:val="18"/>
                      <w:szCs w:val="18"/>
                      <w:highlight w:val="none"/>
                      <w:vertAlign w:val="baseline"/>
                      <w:lang w:val="en-US" w:eastAsia="zh-CN"/>
                    </w:rPr>
                    <w:t>旋风+</w:t>
                  </w:r>
                  <w:r>
                    <w:rPr>
                      <w:rFonts w:hint="default" w:ascii="Times New Roman" w:hAnsi="Times New Roman" w:cs="Times New Roman"/>
                      <w:color w:val="auto"/>
                      <w:kern w:val="0"/>
                      <w:sz w:val="18"/>
                      <w:szCs w:val="18"/>
                      <w:highlight w:val="none"/>
                      <w:vertAlign w:val="baseline"/>
                      <w:lang w:val="en-US" w:eastAsia="zh-CN"/>
                    </w:rPr>
                    <w:t>布袋除尘器</w:t>
                  </w:r>
                  <w:r>
                    <w:rPr>
                      <w:rFonts w:hint="default" w:ascii="Times New Roman" w:hAnsi="Times New Roman" w:eastAsia="宋体" w:cs="Times New Roman"/>
                      <w:color w:val="auto"/>
                      <w:kern w:val="0"/>
                      <w:sz w:val="18"/>
                      <w:szCs w:val="18"/>
                      <w:highlight w:val="none"/>
                      <w:vertAlign w:val="baseline"/>
                      <w:lang w:val="en-US" w:eastAsia="zh-CN"/>
                    </w:rPr>
                    <w:t>处理后，通过30m高烟囱排放。</w:t>
                  </w:r>
                </w:p>
              </w:tc>
            </w:tr>
            <w:tr w14:paraId="2247B3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8" w:type="dxa"/>
                  <w:tcBorders>
                    <w:tl2br w:val="nil"/>
                    <w:tr2bl w:val="nil"/>
                  </w:tcBorders>
                  <w:noWrap w:val="0"/>
                  <w:vAlign w:val="center"/>
                </w:tcPr>
                <w:p w14:paraId="5D94CF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（十二）应制定严格、完善的国家和地方工业污染物排放标准，明确各行业排放控制要求。在环境污染严重、污染物排放量大的地区，应制定实施严格的地方排放标准或国家排放标准特别排放限值。</w:t>
                  </w:r>
                </w:p>
              </w:tc>
              <w:tc>
                <w:tcPr>
                  <w:tcW w:w="1933" w:type="dxa"/>
                  <w:tcBorders>
                    <w:tl2br w:val="nil"/>
                    <w:tr2bl w:val="nil"/>
                  </w:tcBorders>
                  <w:noWrap w:val="0"/>
                  <w:vAlign w:val="center"/>
                </w:tcPr>
                <w:p w14:paraId="51F289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本项目锅炉烟气执行《锅炉大气污染物排放标准》（GB13271-2014）表2燃煤锅炉排放限值。</w:t>
                  </w:r>
                </w:p>
              </w:tc>
            </w:tr>
            <w:tr w14:paraId="16F755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8" w:type="dxa"/>
                  <w:tcBorders>
                    <w:tl2br w:val="nil"/>
                    <w:tr2bl w:val="nil"/>
                  </w:tcBorders>
                  <w:noWrap w:val="0"/>
                  <w:vAlign w:val="center"/>
                </w:tcPr>
                <w:p w14:paraId="39BF22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1933" w:type="dxa"/>
                  <w:vMerge w:val="restart"/>
                  <w:tcBorders>
                    <w:tl2br w:val="nil"/>
                    <w:tr2bl w:val="nil"/>
                  </w:tcBorders>
                  <w:noWrap w:val="0"/>
                  <w:vAlign w:val="center"/>
                </w:tcPr>
                <w:p w14:paraId="3ED200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锅炉产生的烟气经</w:t>
                  </w:r>
                  <w:r>
                    <w:rPr>
                      <w:rFonts w:hint="default" w:ascii="Times New Roman" w:hAnsi="Times New Roman" w:cs="Times New Roman"/>
                      <w:color w:val="auto"/>
                      <w:kern w:val="0"/>
                      <w:sz w:val="18"/>
                      <w:szCs w:val="18"/>
                      <w:highlight w:val="none"/>
                      <w:vertAlign w:val="baseline"/>
                      <w:lang w:val="en-US" w:eastAsia="zh-CN"/>
                    </w:rPr>
                    <w:t>旋风+</w:t>
                  </w:r>
                  <w:r>
                    <w:rPr>
                      <w:rFonts w:hint="default" w:ascii="Times New Roman" w:hAnsi="Times New Roman" w:cs="Times New Roman"/>
                      <w:color w:val="auto"/>
                      <w:kern w:val="0"/>
                      <w:sz w:val="18"/>
                      <w:szCs w:val="18"/>
                      <w:highlight w:val="none"/>
                      <w:vertAlign w:val="baseline"/>
                      <w:lang w:val="en-US" w:eastAsia="zh-CN"/>
                    </w:rPr>
                    <w:t>布袋除尘器</w:t>
                  </w:r>
                  <w:r>
                    <w:rPr>
                      <w:rFonts w:hint="default" w:ascii="Times New Roman" w:hAnsi="Times New Roman" w:eastAsia="宋体" w:cs="Times New Roman"/>
                      <w:color w:val="auto"/>
                      <w:kern w:val="0"/>
                      <w:sz w:val="18"/>
                      <w:szCs w:val="18"/>
                      <w:highlight w:val="none"/>
                      <w:vertAlign w:val="baseline"/>
                      <w:lang w:val="en-US" w:eastAsia="zh-CN"/>
                    </w:rPr>
                    <w:t>处理后，通过30m高烟囱排放，满足《锅炉大气污染物排放标准》（GB13271-2014）表2燃煤锅炉排放限值。</w:t>
                  </w:r>
                </w:p>
              </w:tc>
            </w:tr>
            <w:tr w14:paraId="3D3A97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38" w:type="dxa"/>
                  <w:tcBorders>
                    <w:tl2br w:val="nil"/>
                    <w:tr2bl w:val="nil"/>
                  </w:tcBorders>
                  <w:noWrap w:val="0"/>
                  <w:vAlign w:val="center"/>
                </w:tcPr>
                <w:p w14:paraId="4C7B1D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r>
                    <w:rPr>
                      <w:rFonts w:hint="default" w:ascii="Times New Roman" w:hAnsi="Times New Roman" w:eastAsia="宋体" w:cs="Times New Roman"/>
                      <w:color w:val="auto"/>
                      <w:kern w:val="0"/>
                      <w:sz w:val="18"/>
                      <w:szCs w:val="18"/>
                      <w:highlight w:val="none"/>
                      <w:vertAlign w:val="baseline"/>
                      <w:lang w:val="en-US" w:eastAsia="zh-CN"/>
                    </w:rPr>
                    <w:t>（十五）产生大气颗粒物及其前体物污染物的生产活动应尽量采用密闭装置，避免无组织排放；无法完全密闭的，应安装集气装置收集逸散的污染物，经净化后排放。</w:t>
                  </w:r>
                </w:p>
              </w:tc>
              <w:tc>
                <w:tcPr>
                  <w:tcW w:w="1933" w:type="dxa"/>
                  <w:vMerge w:val="continue"/>
                  <w:tcBorders>
                    <w:tl2br w:val="nil"/>
                    <w:tr2bl w:val="nil"/>
                  </w:tcBorders>
                  <w:noWrap w:val="0"/>
                  <w:vAlign w:val="center"/>
                </w:tcPr>
                <w:p w14:paraId="5F2C5F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vertAlign w:val="baseline"/>
                      <w:lang w:val="en-US" w:eastAsia="zh-CN"/>
                    </w:rPr>
                  </w:pPr>
                </w:p>
              </w:tc>
            </w:tr>
          </w:tbl>
          <w:p w14:paraId="27A015C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cs="Times New Roman"/>
                <w:color w:val="auto"/>
                <w:kern w:val="0"/>
                <w:szCs w:val="21"/>
                <w:highlight w:val="none"/>
                <w:lang w:val="en-US" w:eastAsia="zh-CN"/>
              </w:rPr>
            </w:pPr>
          </w:p>
          <w:p w14:paraId="005B164D">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7、</w:t>
            </w:r>
            <w:r>
              <w:rPr>
                <w:rFonts w:hint="default" w:ascii="Times New Roman" w:hAnsi="Times New Roman" w:eastAsia="宋体" w:cs="Times New Roman"/>
                <w:b/>
                <w:bCs w:val="0"/>
                <w:color w:val="auto"/>
                <w:kern w:val="0"/>
                <w:sz w:val="21"/>
                <w:szCs w:val="21"/>
                <w:highlight w:val="none"/>
                <w:lang w:val="en-US" w:eastAsia="zh-CN" w:bidi="ar-SA"/>
              </w:rPr>
              <w:t>与《绥化市人民政府关于印发绥化市“十四五”生态环境保护规划的通知》【绥政发〔2022〕29】号符合性分析</w:t>
            </w:r>
          </w:p>
          <w:p w14:paraId="47689F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坚持减污降碳、绿色发展。深入实施可持续发展战略，推进碳达峰碳中和，把握实现“减污降碳协同效应”总体要求，把降碳摆在更加突出的位置。充分发挥生态环境保护对经济发展的优化促进作用，加快形成绿色发展方式和生活方式。</w:t>
            </w:r>
          </w:p>
          <w:p w14:paraId="64C7A6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总体目标。到2025年，全市生态环境持续改善。主要污染物排放总量持续减少，温室气体排放得到有效控制；深入打好蓝天保卫战，坚持科学治污、精准治污和依法治污，削减污染物排放量，持续改善我市环境空气质量；坚持污染减排与生态扩容两手发力，强化水资源、水生态、水环境“三水统筹”，不断实现人民对美丽河湖的向往，力争实现肇兰新河消除劣Ⅴ类目标，使我市水生态环境质量稳步提升；土壤和地下水环境质量总体保持稳定，局部稳中向好；农业面源污染得到初步管控；农村生态环境基础设施建设加快推进，农村生态环境明显改善；固体废物与化学物质环境风险防控能力明显增强，核与辐射安全监管持续加强，环境风险得到有效管控；生态环境治理体系与治理能力现代化取得重大进展，生态文明建设水平与全面建成小康社会相适应。</w:t>
            </w:r>
          </w:p>
          <w:p w14:paraId="39B316A5">
            <w:pPr>
              <w:autoSpaceDE w:val="0"/>
              <w:autoSpaceDN w:val="0"/>
              <w:adjustRightInd w:val="0"/>
              <w:snapToGrid w:val="0"/>
              <w:spacing w:line="360" w:lineRule="auto"/>
              <w:ind w:firstLine="420" w:firstLineChars="200"/>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本项目新建项目，3t/h生物质锅炉燃烧后产生的污染物经</w:t>
            </w:r>
            <w:r>
              <w:rPr>
                <w:rFonts w:hint="default" w:ascii="Times New Roman" w:hAnsi="Times New Roman" w:cs="Times New Roman"/>
                <w:sz w:val="21"/>
                <w:szCs w:val="21"/>
                <w:highlight w:val="none"/>
                <w:lang w:val="en-US" w:eastAsia="zh-CN"/>
              </w:rPr>
              <w:t>旋风+</w:t>
            </w:r>
            <w:r>
              <w:rPr>
                <w:rFonts w:hint="default" w:ascii="Times New Roman" w:hAnsi="Times New Roman" w:cs="Times New Roman"/>
                <w:sz w:val="21"/>
                <w:szCs w:val="21"/>
                <w:highlight w:val="none"/>
                <w:lang w:val="en-US" w:eastAsia="zh-CN"/>
              </w:rPr>
              <w:t>布袋除尘器</w:t>
            </w:r>
            <w:r>
              <w:rPr>
                <w:rFonts w:hint="default" w:ascii="Times New Roman" w:hAnsi="Times New Roman" w:cs="Times New Roman"/>
                <w:sz w:val="21"/>
                <w:szCs w:val="21"/>
                <w:highlight w:val="none"/>
                <w:lang w:val="en-US" w:eastAsia="zh-CN"/>
              </w:rPr>
              <w:t>（处理效率99.7%）</w:t>
            </w:r>
            <w:r>
              <w:rPr>
                <w:rFonts w:hint="default" w:ascii="Times New Roman" w:hAnsi="Times New Roman" w:cs="Times New Roman"/>
                <w:sz w:val="21"/>
                <w:szCs w:val="21"/>
                <w:highlight w:val="none"/>
                <w:lang w:val="en-US" w:eastAsia="zh-CN"/>
              </w:rPr>
              <w:t>处理后通过30m高的烟囱排放至室外。</w:t>
            </w:r>
          </w:p>
          <w:p w14:paraId="6D2564FD">
            <w:pPr>
              <w:pStyle w:val="11"/>
              <w:spacing w:line="360" w:lineRule="auto"/>
              <w:ind w:firstLine="422" w:firstLineChars="20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8、与</w:t>
            </w:r>
            <w:bookmarkStart w:id="4" w:name="OLE_LINK13"/>
            <w:r>
              <w:rPr>
                <w:rFonts w:hint="default" w:ascii="Times New Roman" w:hAnsi="Times New Roman" w:eastAsia="宋体" w:cs="Times New Roman"/>
                <w:b/>
                <w:bCs/>
                <w:kern w:val="2"/>
                <w:sz w:val="21"/>
                <w:szCs w:val="21"/>
                <w:highlight w:val="none"/>
                <w:lang w:val="en-US" w:eastAsia="zh-CN" w:bidi="ar-SA"/>
              </w:rPr>
              <w:t>《绥化市空气质量持续改善行</w:t>
            </w:r>
            <w:r>
              <w:rPr>
                <w:rFonts w:hint="default" w:ascii="Times New Roman" w:hAnsi="Times New Roman" w:eastAsia="宋体" w:cs="Times New Roman"/>
                <w:b/>
                <w:bCs/>
                <w:kern w:val="2"/>
                <w:sz w:val="21"/>
                <w:szCs w:val="21"/>
                <w:highlight w:val="none"/>
                <w:lang w:val="en-US" w:eastAsia="zh-CN" w:bidi="ar-SA"/>
              </w:rPr>
              <w:t>动计划实施方案》</w:t>
            </w:r>
            <w:bookmarkEnd w:id="4"/>
            <w:r>
              <w:rPr>
                <w:rFonts w:hint="default" w:ascii="Times New Roman" w:hAnsi="Times New Roman" w:eastAsia="宋体" w:cs="Times New Roman"/>
                <w:b/>
                <w:bCs/>
                <w:kern w:val="2"/>
                <w:sz w:val="21"/>
                <w:szCs w:val="21"/>
                <w:highlight w:val="none"/>
                <w:lang w:val="en-US" w:eastAsia="zh-CN" w:bidi="ar-SA"/>
              </w:rPr>
              <w:t>符合性分析</w:t>
            </w:r>
          </w:p>
          <w:p w14:paraId="41FEAE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加快重点行业落后产能淘汰退出。严格按照国家新修订的《产业结构调整指导目录》，加快退出淘汰或限制大气污染物排放强度高、治理难度大的产能、工艺和装备。（市工信局牵头，市发改委、市生态环境局、市应急管理局等部门按职责分工负责，各县（市、区）人民政府、绥化经开区管委会负责落实）</w:t>
            </w:r>
          </w:p>
          <w:p w14:paraId="0063B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严格控制煤炭消费总量。全市原则上不再新增自备燃煤机组，按要求支持自备燃煤机组实施清洁能源替代。对支撑电力稳定供应、电网安全运行、清洁能源大规模并网消纳的煤电项目及其用煤量应予以合理保障。到2025年，全市煤炭消费比重下降到60%左右。（市发改委牵头，市生态环境局按职责分工负责，各县（市、区）人民政府、绥化经开区管委会负责落实）</w:t>
            </w:r>
          </w:p>
          <w:p w14:paraId="6D5165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加快工业炉窑燃料清洁替代。有序推进电能替代煤炭，积极稳妥推进以气代煤。稳步推进在用高污染燃料的工业炉窑改用工业余热、电能、天然气等。（市生态环境局牵头，市工信局、市发改委等部门按职责分工负责，各县（市、区）人民政府、绥化经开区管委会负责落实）</w:t>
            </w:r>
          </w:p>
          <w:p w14:paraId="07EBD4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加强秸秆综合利用和禁烧管控。提高秸秆还田标准化规范化水平。健全秸秆收储运服务体系，提升产业化能力，提高离田效能。到2025年，全市秸秆综合利用率达到95%以上。加强源头管控治理，压实各级“田长制”管理责任，把秸秆还田离田工作任务落实到人、包保到户、管控到地块，落实农户、合作社主体责任，发挥基层党组织、驻村工作队、村警务室作用，全面完成秸秆还田离田任务。加强秸秆综合利用和禁烧管控的监管督查，开展秸秆焚烧重点时段专项巡查，综合运用卫星遥感、高清视频监控、无人机等手段，提高秸秆焚烧火点监测精准度，落实“哈大绥”区域联防联控，切实保障环境空气质量。（市生态环境局和市农业农村局牵头，各县（市、区）人民政府、绥化经开区管委会负责落实）</w:t>
            </w:r>
          </w:p>
          <w:p w14:paraId="5493E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企业采用生物质燃料，促进了秸秆的利用率，建设3t/h燃生物质锅炉，用于厂区生产供热，产生的废气经</w:t>
            </w:r>
            <w:r>
              <w:rPr>
                <w:rFonts w:hint="default" w:ascii="Times New Roman" w:hAnsi="Times New Roman" w:eastAsia="宋体" w:cs="Times New Roman"/>
                <w:kern w:val="2"/>
                <w:sz w:val="21"/>
                <w:szCs w:val="21"/>
                <w:highlight w:val="none"/>
                <w:lang w:val="en-US" w:eastAsia="zh-CN" w:bidi="ar-SA"/>
              </w:rPr>
              <w:t>旋风+</w:t>
            </w:r>
            <w:r>
              <w:rPr>
                <w:rFonts w:hint="default" w:ascii="Times New Roman" w:hAnsi="Times New Roman" w:eastAsia="宋体" w:cs="Times New Roman"/>
                <w:kern w:val="2"/>
                <w:sz w:val="21"/>
                <w:szCs w:val="21"/>
                <w:highlight w:val="none"/>
                <w:lang w:val="en-US" w:eastAsia="zh-CN" w:bidi="ar-SA"/>
              </w:rPr>
              <w:t>布袋除尘器</w:t>
            </w:r>
            <w:r>
              <w:rPr>
                <w:rFonts w:hint="default" w:ascii="Times New Roman" w:hAnsi="Times New Roman" w:eastAsia="宋体" w:cs="Times New Roman"/>
                <w:kern w:val="2"/>
                <w:sz w:val="21"/>
                <w:szCs w:val="21"/>
                <w:highlight w:val="none"/>
                <w:lang w:val="en-US" w:eastAsia="zh-CN" w:bidi="ar-SA"/>
              </w:rPr>
              <w:t>（除尘效率99.7%）处理后，通过30m高烟囱排放，符合《绥化市空气质量持续改善行动计划实施方案》要求。</w:t>
            </w:r>
          </w:p>
          <w:p w14:paraId="46EDB629">
            <w:pPr>
              <w:pStyle w:val="7"/>
              <w:numPr>
                <w:ilvl w:val="0"/>
                <w:numId w:val="0"/>
              </w:numPr>
              <w:ind w:firstLine="422" w:firstLineChars="20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9、与《黑龙江省大气污染防治行动计划实施细则》符合性分析</w:t>
            </w:r>
          </w:p>
          <w:p w14:paraId="5D8F3B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加大集中供热工程建设，淘汰分散燃煤小锅炉。积极推进“三供两治”工程项目建设，加大城市及周边现有燃煤发电机组的供热改造力度，推进大型集中供热企业接收分散供热小锅炉，拔除小烟筒。</w:t>
            </w:r>
          </w:p>
          <w:p w14:paraId="335BE285">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加强扬尘控制，深化面源污染治理。各地要大力推进园林城市建设，提高街道两侧硬化率、绿化率，减少市区、城乡结合部街路裸露地面。</w:t>
            </w:r>
          </w:p>
          <w:p w14:paraId="07AF80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加强对燃煤锅炉及窑炉等治理。循环硫化床锅炉要全部安装静电、布袋等高效除尘设施，实现达标排放。</w:t>
            </w:r>
          </w:p>
          <w:p w14:paraId="4F87B5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项目生产用热</w:t>
            </w:r>
            <w:r>
              <w:rPr>
                <w:rFonts w:hint="default" w:ascii="Times New Roman" w:hAnsi="Times New Roman" w:cs="Times New Roman"/>
                <w:kern w:val="0"/>
                <w:sz w:val="21"/>
                <w:szCs w:val="21"/>
                <w:highlight w:val="none"/>
                <w:lang w:val="en-US" w:eastAsia="zh-CN" w:bidi="ar"/>
              </w:rPr>
              <w:t>由3t/h锅炉提供</w:t>
            </w:r>
            <w:r>
              <w:rPr>
                <w:rFonts w:hint="default" w:ascii="Times New Roman" w:hAnsi="Times New Roman" w:eastAsia="宋体" w:cs="Times New Roman"/>
                <w:kern w:val="0"/>
                <w:sz w:val="21"/>
                <w:szCs w:val="21"/>
                <w:highlight w:val="none"/>
                <w:lang w:val="en-US" w:eastAsia="zh-CN" w:bidi="ar"/>
              </w:rPr>
              <w:t>，地面全部硬化，</w:t>
            </w:r>
            <w:r>
              <w:rPr>
                <w:rFonts w:hint="default" w:ascii="Times New Roman" w:hAnsi="Times New Roman" w:cs="Times New Roman"/>
                <w:kern w:val="0"/>
                <w:sz w:val="21"/>
                <w:szCs w:val="21"/>
                <w:highlight w:val="none"/>
                <w:lang w:val="en-US" w:eastAsia="zh-CN" w:bidi="ar"/>
              </w:rPr>
              <w:t>锅炉</w:t>
            </w:r>
            <w:r>
              <w:rPr>
                <w:rFonts w:hint="default" w:ascii="Times New Roman" w:hAnsi="Times New Roman" w:eastAsia="宋体" w:cs="Times New Roman"/>
                <w:kern w:val="0"/>
                <w:sz w:val="21"/>
                <w:szCs w:val="21"/>
                <w:highlight w:val="none"/>
                <w:lang w:val="en-US" w:eastAsia="zh-CN" w:bidi="ar"/>
              </w:rPr>
              <w:t>产生的废气经</w:t>
            </w:r>
            <w:r>
              <w:rPr>
                <w:rFonts w:hint="default" w:ascii="Times New Roman" w:hAnsi="Times New Roman" w:cs="Times New Roman"/>
                <w:kern w:val="0"/>
                <w:sz w:val="21"/>
                <w:szCs w:val="21"/>
                <w:highlight w:val="none"/>
                <w:lang w:val="en-US" w:eastAsia="zh-CN" w:bidi="ar"/>
              </w:rPr>
              <w:t>旋风+</w:t>
            </w:r>
            <w:r>
              <w:rPr>
                <w:rFonts w:hint="default" w:ascii="Times New Roman" w:hAnsi="Times New Roman" w:cs="Times New Roman"/>
                <w:kern w:val="0"/>
                <w:sz w:val="21"/>
                <w:szCs w:val="21"/>
                <w:highlight w:val="none"/>
                <w:lang w:val="en-US" w:eastAsia="zh-CN" w:bidi="ar"/>
              </w:rPr>
              <w:t>布袋除尘器</w:t>
            </w:r>
            <w:r>
              <w:rPr>
                <w:rFonts w:hint="default" w:ascii="Times New Roman" w:hAnsi="Times New Roman" w:cs="Times New Roman"/>
                <w:kern w:val="0"/>
                <w:sz w:val="21"/>
                <w:szCs w:val="21"/>
                <w:highlight w:val="none"/>
                <w:lang w:val="en-US" w:eastAsia="zh-CN" w:bidi="ar"/>
              </w:rPr>
              <w:t>（除尘效率99.7%）</w:t>
            </w:r>
            <w:r>
              <w:rPr>
                <w:rFonts w:hint="default" w:ascii="Times New Roman" w:hAnsi="Times New Roman" w:eastAsia="宋体" w:cs="Times New Roman"/>
                <w:kern w:val="0"/>
                <w:sz w:val="21"/>
                <w:szCs w:val="21"/>
                <w:highlight w:val="none"/>
                <w:lang w:val="en-US" w:eastAsia="zh-CN" w:bidi="ar"/>
              </w:rPr>
              <w:t>处理后经</w:t>
            </w:r>
            <w:r>
              <w:rPr>
                <w:rFonts w:hint="default" w:ascii="Times New Roman" w:hAnsi="Times New Roman" w:cs="Times New Roman"/>
                <w:kern w:val="0"/>
                <w:sz w:val="21"/>
                <w:szCs w:val="21"/>
                <w:highlight w:val="none"/>
                <w:lang w:val="en-US" w:eastAsia="zh-CN" w:bidi="ar"/>
              </w:rPr>
              <w:t>30m</w:t>
            </w:r>
            <w:r>
              <w:rPr>
                <w:rFonts w:hint="default" w:ascii="Times New Roman" w:hAnsi="Times New Roman" w:eastAsia="宋体" w:cs="Times New Roman"/>
                <w:kern w:val="0"/>
                <w:sz w:val="21"/>
                <w:szCs w:val="21"/>
                <w:highlight w:val="none"/>
                <w:lang w:val="en-US" w:eastAsia="zh-CN" w:bidi="ar"/>
              </w:rPr>
              <w:t>高排气筒排放。</w:t>
            </w:r>
          </w:p>
          <w:p w14:paraId="334A4AF1">
            <w:pPr>
              <w:pStyle w:val="7"/>
              <w:numPr>
                <w:ilvl w:val="0"/>
                <w:numId w:val="0"/>
              </w:numPr>
              <w:spacing w:line="360" w:lineRule="auto"/>
              <w:ind w:firstLine="422" w:firstLineChars="20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10、与《食品安全国家标准 食品生产通用卫生规范》（GB14881-2013）符合性分析</w:t>
            </w:r>
          </w:p>
          <w:p w14:paraId="1E2C9000">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 xml:space="preserve">3.1.1 厂区不应选择对食品有显著污染的区域。如某地对食品安全和食品宜食用性存在明显的不利影 响，且无法通过采取措施加以改善，应避免在该地址建厂。 </w:t>
            </w:r>
          </w:p>
          <w:p w14:paraId="00A898C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3.1.2 厂区不应选择有害废弃物以及粉尘、有害气体、放射性物质和其他扩散性污染源不能有效清除的地址。</w:t>
            </w:r>
          </w:p>
          <w:p w14:paraId="1C43868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3.1.3 厂区不宜择易发生洪涝灾害的地区，难以避开时应设计必要的防范措施。</w:t>
            </w:r>
          </w:p>
          <w:p w14:paraId="454AC55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3.1.4 厂区周围不宜有虫害大量孳生的潜在场所，难以避开时应设计必要的防范措施。</w:t>
            </w:r>
          </w:p>
          <w:p w14:paraId="3CF2692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 xml:space="preserve">4.1.1 厂房和车间的内部设计和布局应满足食品卫生操作要求，避免食品生产中发生交叉污染。 </w:t>
            </w:r>
          </w:p>
          <w:p w14:paraId="5F69E17C">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4.1.2 厂房和车间的设计应根据生产工艺合理布局，预防和降低产品受污染的风险。</w:t>
            </w:r>
          </w:p>
          <w:p w14:paraId="2F39112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 xml:space="preserve">4.1.3 厂房和车间应根据产品特点、生产工艺、生产特性以及生产过程对清洁程度的要求合理划分作业区，并采取有效分离或分隔。如：通常可划分为清洁作业区、准清洁作业区和一般作业区；或清洁作业 区和一般作业区等。一般作业区应与其他作业区域分隔。 </w:t>
            </w:r>
          </w:p>
          <w:p w14:paraId="1810F5D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 xml:space="preserve">4.1.4 厂房内设置的检验室应与生产区域分隔。 </w:t>
            </w:r>
          </w:p>
          <w:p w14:paraId="255E1AFE">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4.1.5 厂房的面积和空间应与生产能力相适应，便于设备安置、清洁消毒、物料存储及人员操作。</w:t>
            </w:r>
          </w:p>
          <w:p w14:paraId="0F8D9E66">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本项目位于黑龙江省绥化市青冈县连丰乡友好村三马架屯，周围无选择对食品有显著污染的区域及及粉尘、有害气体、放射性物质和其他扩散性污染源，对生产车间内合理分区，符合《食品安全国家标准 食品生产通用卫生规范》（GB14881-2013）的相关要求。</w:t>
            </w:r>
          </w:p>
          <w:p w14:paraId="1CA96407">
            <w:pPr>
              <w:pStyle w:val="7"/>
              <w:numPr>
                <w:ilvl w:val="0"/>
                <w:numId w:val="0"/>
              </w:numPr>
              <w:spacing w:line="360" w:lineRule="auto"/>
              <w:ind w:firstLine="422" w:firstLineChars="200"/>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11、</w:t>
            </w:r>
            <w:r>
              <w:rPr>
                <w:rFonts w:hint="default" w:ascii="Times New Roman" w:hAnsi="Times New Roman" w:eastAsia="宋体" w:cs="Times New Roman"/>
                <w:b/>
                <w:bCs/>
                <w:kern w:val="2"/>
                <w:sz w:val="21"/>
                <w:szCs w:val="21"/>
                <w:highlight w:val="none"/>
                <w:lang w:val="en-US" w:eastAsia="zh-CN" w:bidi="ar-SA"/>
              </w:rPr>
              <w:t>与《冷库设计标准》（GB50072-2021）符合性分析</w:t>
            </w:r>
          </w:p>
          <w:p w14:paraId="409A1FA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使用氨制冷系统的冷库库址宜选择在相邻集中居住区全年最大频率风向的下风侧；</w:t>
            </w:r>
          </w:p>
          <w:p w14:paraId="1E15B607">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库址周围应有良好的卫生条件，并应避开和远离有害气体、烟雾、粉尘及其他有污染源的地段；</w:t>
            </w:r>
          </w:p>
          <w:p w14:paraId="4DE11094">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应结合物流流向和近远期发展等因素，选择在交通运输方便的区域；</w:t>
            </w:r>
          </w:p>
          <w:p w14:paraId="69290EDC">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宜具备可靠的水源和电源以及排水条件；</w:t>
            </w:r>
          </w:p>
          <w:p w14:paraId="4403E02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应避开洪水和泥石流易发地段以及其他地质条件不良地段；</w:t>
            </w:r>
          </w:p>
          <w:p w14:paraId="4EF2D321">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冷库库址还应综合考虑各类冷库的特殊要求。</w:t>
            </w:r>
          </w:p>
          <w:p w14:paraId="4C2AADD2">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应满足物流工艺、运输、管理和设备管线合理布置及消防安全等综合要求；</w:t>
            </w:r>
          </w:p>
          <w:p w14:paraId="5BC0AC7C">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当以公路运输为主时，库房应靠近冷库运输主出入口布置；</w:t>
            </w:r>
          </w:p>
          <w:p w14:paraId="50DE97EA">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生产加工企业的冷库应布置在厂区的清洁区，并应在其污染区夏季最大频率风向的上风侧；</w:t>
            </w:r>
          </w:p>
          <w:p w14:paraId="16DD161F">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在库区显著位置应设风向标。</w:t>
            </w:r>
          </w:p>
          <w:p w14:paraId="4119AC29">
            <w:pPr>
              <w:pStyle w:val="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0"/>
                <w:sz w:val="21"/>
                <w:szCs w:val="21"/>
                <w:highlight w:val="none"/>
                <w:lang w:val="en-US" w:eastAsia="zh-CN" w:bidi="ar"/>
              </w:rPr>
            </w:pPr>
            <w:r>
              <w:rPr>
                <w:rFonts w:hint="default" w:ascii="Times New Roman" w:hAnsi="Times New Roman" w:eastAsia="宋体" w:cs="Times New Roman"/>
                <w:kern w:val="0"/>
                <w:sz w:val="21"/>
                <w:szCs w:val="21"/>
                <w:highlight w:val="none"/>
                <w:lang w:val="en-US" w:eastAsia="zh-CN" w:bidi="ar"/>
              </w:rPr>
              <w:t>本项目采用氟利昂为制冷剂，周围无有害气体、烟雾、粉尘及其他有污染源，用水取自市政管网，库房靠近冷库运输主出入口，符合《冷库设计标准》（GB50072-2021）。</w:t>
            </w:r>
          </w:p>
          <w:p w14:paraId="05D9D008">
            <w:pPr>
              <w:rPr>
                <w:rFonts w:hint="default" w:ascii="Times New Roman" w:hAnsi="Times New Roman" w:cs="Times New Roman"/>
                <w:highlight w:val="none"/>
                <w:lang w:val="en-US" w:eastAsia="zh-CN"/>
              </w:rPr>
            </w:pPr>
          </w:p>
        </w:tc>
      </w:tr>
    </w:tbl>
    <w:p w14:paraId="4087F1D2">
      <w:pPr>
        <w:spacing w:line="360" w:lineRule="auto"/>
        <w:outlineLvl w:val="9"/>
        <w:rPr>
          <w:rFonts w:hint="default" w:ascii="Times New Roman" w:hAnsi="Times New Roman" w:eastAsia="黑体" w:cs="Times New Roman"/>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A3CFEC5">
      <w:pPr>
        <w:jc w:val="center"/>
        <w:outlineLvl w:val="0"/>
        <w:rPr>
          <w:rFonts w:hint="default" w:ascii="Times New Roman" w:hAnsi="Times New Roman" w:eastAsia="黑体" w:cs="Times New Roman"/>
          <w:snapToGrid w:val="0"/>
          <w:color w:val="auto"/>
          <w:sz w:val="30"/>
          <w:szCs w:val="30"/>
          <w:highlight w:val="none"/>
        </w:rPr>
      </w:pPr>
      <w:bookmarkStart w:id="5" w:name="_Toc10360"/>
      <w:r>
        <w:rPr>
          <w:rFonts w:hint="default" w:ascii="Times New Roman" w:hAnsi="Times New Roman" w:eastAsia="黑体" w:cs="Times New Roman"/>
          <w:snapToGrid w:val="0"/>
          <w:color w:val="auto"/>
          <w:sz w:val="30"/>
          <w:szCs w:val="30"/>
          <w:highlight w:val="none"/>
        </w:rPr>
        <w:t>二、建设项目工程分析</w:t>
      </w:r>
      <w:bookmarkEnd w:id="5"/>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4"/>
        <w:gridCol w:w="8636"/>
      </w:tblGrid>
      <w:tr w14:paraId="1435D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441" w:type="dxa"/>
            <w:noWrap w:val="0"/>
            <w:vAlign w:val="center"/>
          </w:tcPr>
          <w:p w14:paraId="57FF027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建设内容</w:t>
            </w:r>
          </w:p>
        </w:tc>
        <w:tc>
          <w:tcPr>
            <w:tcW w:w="8619" w:type="dxa"/>
            <w:noWrap w:val="0"/>
            <w:vAlign w:val="top"/>
          </w:tcPr>
          <w:p w14:paraId="36D7F4AE">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1、工程组成</w:t>
            </w:r>
          </w:p>
          <w:p w14:paraId="092BFD01">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本项目</w:t>
            </w:r>
            <w:r>
              <w:rPr>
                <w:rFonts w:hint="default" w:ascii="Times New Roman" w:hAnsi="Times New Roman" w:cs="Times New Roman"/>
                <w:bCs/>
                <w:color w:val="auto"/>
                <w:szCs w:val="21"/>
                <w:highlight w:val="none"/>
                <w:lang w:eastAsia="zh-CN"/>
              </w:rPr>
              <w:t>租赁现有厂区及设备，新建生物质储存间及灰渣间，</w:t>
            </w:r>
            <w:r>
              <w:rPr>
                <w:rFonts w:hint="eastAsia" w:cs="Times New Roman"/>
                <w:bCs/>
                <w:color w:val="auto"/>
                <w:szCs w:val="21"/>
                <w:highlight w:val="none"/>
                <w:lang w:eastAsia="zh-CN"/>
              </w:rPr>
              <w:t>依托现有</w:t>
            </w:r>
            <w:r>
              <w:rPr>
                <w:rFonts w:hint="default" w:ascii="Times New Roman" w:hAnsi="Times New Roman" w:cs="Times New Roman"/>
                <w:bCs/>
                <w:color w:val="auto"/>
                <w:szCs w:val="21"/>
                <w:highlight w:val="none"/>
                <w:lang w:eastAsia="zh-CN"/>
              </w:rPr>
              <w:t>一条玉米生产线</w:t>
            </w:r>
            <w:r>
              <w:rPr>
                <w:rFonts w:hint="eastAsia" w:cs="Times New Roman"/>
                <w:bCs/>
                <w:color w:val="auto"/>
                <w:szCs w:val="21"/>
                <w:highlight w:val="none"/>
                <w:lang w:eastAsia="zh-CN"/>
              </w:rPr>
              <w:t>，</w:t>
            </w:r>
            <w:bookmarkStart w:id="22" w:name="_GoBack"/>
            <w:bookmarkEnd w:id="22"/>
            <w:r>
              <w:rPr>
                <w:rFonts w:hint="eastAsia" w:cs="Times New Roman"/>
                <w:bCs/>
                <w:color w:val="auto"/>
                <w:szCs w:val="21"/>
                <w:highlight w:val="none"/>
                <w:lang w:val="en-US" w:eastAsia="zh-CN"/>
              </w:rPr>
              <w:t>新建</w:t>
            </w:r>
            <w:r>
              <w:rPr>
                <w:rFonts w:hint="default" w:ascii="Times New Roman" w:hAnsi="Times New Roman" w:cs="Times New Roman"/>
                <w:bCs/>
                <w:color w:val="auto"/>
                <w:szCs w:val="21"/>
                <w:highlight w:val="none"/>
                <w:lang w:val="en-US" w:eastAsia="zh-CN"/>
              </w:rPr>
              <w:t>一条玉米饼生产线</w:t>
            </w:r>
            <w:r>
              <w:rPr>
                <w:rFonts w:hint="default" w:ascii="Times New Roman" w:hAnsi="Times New Roman" w:cs="Times New Roman"/>
                <w:bCs/>
                <w:color w:val="auto"/>
                <w:szCs w:val="21"/>
                <w:highlight w:val="none"/>
                <w:lang w:eastAsia="zh-CN"/>
              </w:rPr>
              <w:t>，年产</w:t>
            </w:r>
            <w:r>
              <w:rPr>
                <w:rFonts w:hint="default" w:ascii="Times New Roman" w:hAnsi="Times New Roman" w:cs="Times New Roman"/>
                <w:bCs/>
                <w:color w:val="auto"/>
                <w:szCs w:val="21"/>
                <w:highlight w:val="none"/>
                <w:lang w:val="en-US" w:eastAsia="zh-CN"/>
              </w:rPr>
              <w:t>1500t</w:t>
            </w:r>
            <w:r>
              <w:rPr>
                <w:rFonts w:hint="default" w:ascii="Times New Roman" w:hAnsi="Times New Roman" w:cs="Times New Roman"/>
                <w:bCs/>
                <w:color w:val="auto"/>
                <w:szCs w:val="21"/>
                <w:highlight w:val="none"/>
                <w:lang w:eastAsia="zh-CN"/>
              </w:rPr>
              <w:t>玉米</w:t>
            </w:r>
            <w:r>
              <w:rPr>
                <w:rFonts w:hint="default" w:ascii="Times New Roman" w:hAnsi="Times New Roman" w:cs="Times New Roman"/>
                <w:bCs/>
                <w:color w:val="auto"/>
                <w:szCs w:val="21"/>
                <w:highlight w:val="none"/>
                <w:lang w:val="en-US" w:eastAsia="zh-CN"/>
              </w:rPr>
              <w:t>，400t玉米饼</w:t>
            </w:r>
            <w:r>
              <w:rPr>
                <w:rFonts w:hint="eastAsia" w:cs="Times New Roman"/>
                <w:bCs/>
                <w:color w:val="auto"/>
                <w:szCs w:val="21"/>
                <w:highlight w:val="none"/>
                <w:lang w:val="en-US" w:eastAsia="zh-CN"/>
              </w:rPr>
              <w:t>。依托现有锅炉房，拆除现有电锅炉，新建</w:t>
            </w:r>
            <w:r>
              <w:rPr>
                <w:rFonts w:hint="default" w:ascii="Times New Roman" w:hAnsi="Times New Roman" w:cs="Times New Roman"/>
                <w:bCs/>
                <w:color w:val="auto"/>
                <w:szCs w:val="21"/>
                <w:highlight w:val="none"/>
                <w:lang w:val="en-US" w:eastAsia="zh-CN"/>
              </w:rPr>
              <w:t>一台3t/h生物质锅炉</w:t>
            </w:r>
            <w:r>
              <w:rPr>
                <w:rFonts w:hint="eastAsia" w:cs="Times New Roman"/>
                <w:bCs/>
                <w:color w:val="auto"/>
                <w:szCs w:val="21"/>
                <w:highlight w:val="none"/>
                <w:lang w:val="en-US" w:eastAsia="zh-CN"/>
              </w:rPr>
              <w:t>及其附属设施</w:t>
            </w:r>
            <w:r>
              <w:rPr>
                <w:rFonts w:hint="default" w:ascii="Times New Roman" w:hAnsi="Times New Roman" w:cs="Times New Roman"/>
                <w:bCs/>
                <w:color w:val="auto"/>
                <w:szCs w:val="21"/>
                <w:highlight w:val="none"/>
              </w:rPr>
              <w:t>。项目组成表详见表2-1。</w:t>
            </w:r>
          </w:p>
          <w:p w14:paraId="4BD9ECB8">
            <w:pPr>
              <w:adjustRightInd w:val="0"/>
              <w:snapToGrid w:val="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表2-1  工程组成一览表</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463"/>
              <w:gridCol w:w="5806"/>
              <w:gridCol w:w="648"/>
            </w:tblGrid>
            <w:tr w14:paraId="394F8B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6" w:type="pct"/>
                  <w:gridSpan w:val="2"/>
                  <w:noWrap w:val="0"/>
                  <w:vAlign w:val="center"/>
                </w:tcPr>
                <w:p w14:paraId="7B41D52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建设内容</w:t>
                  </w:r>
                </w:p>
              </w:tc>
              <w:tc>
                <w:tcPr>
                  <w:tcW w:w="3448" w:type="pct"/>
                  <w:noWrap w:val="0"/>
                  <w:vAlign w:val="center"/>
                </w:tcPr>
                <w:p w14:paraId="359D0F2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建设规模及内容</w:t>
                  </w:r>
                </w:p>
              </w:tc>
              <w:tc>
                <w:tcPr>
                  <w:tcW w:w="384" w:type="pct"/>
                  <w:noWrap w:val="0"/>
                  <w:vAlign w:val="center"/>
                </w:tcPr>
                <w:p w14:paraId="6FCB8F8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14:paraId="4892C5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7" w:type="pct"/>
                  <w:vMerge w:val="restart"/>
                  <w:noWrap w:val="0"/>
                  <w:vAlign w:val="center"/>
                </w:tcPr>
                <w:p w14:paraId="0289434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主体工程</w:t>
                  </w:r>
                </w:p>
              </w:tc>
              <w:tc>
                <w:tcPr>
                  <w:tcW w:w="869" w:type="pct"/>
                  <w:noWrap w:val="0"/>
                  <w:vAlign w:val="center"/>
                </w:tcPr>
                <w:p w14:paraId="4BAEC59E">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生产车间</w:t>
                  </w:r>
                </w:p>
              </w:tc>
              <w:tc>
                <w:tcPr>
                  <w:tcW w:w="3448" w:type="pct"/>
                  <w:noWrap w:val="0"/>
                  <w:vAlign w:val="center"/>
                </w:tcPr>
                <w:p w14:paraId="45C1227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占地面积260m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color w:val="auto"/>
                      <w:sz w:val="18"/>
                      <w:szCs w:val="18"/>
                      <w:highlight w:val="none"/>
                      <w:lang w:val="en-US" w:eastAsia="zh-CN"/>
                    </w:rPr>
                    <w:t>，内设一条速冻玉米生产线</w:t>
                  </w:r>
                  <w:r>
                    <w:rPr>
                      <w:rFonts w:hint="eastAsia" w:cs="Times New Roman"/>
                      <w:color w:val="auto"/>
                      <w:sz w:val="18"/>
                      <w:szCs w:val="18"/>
                      <w:highlight w:val="none"/>
                      <w:lang w:val="en-US" w:eastAsia="zh-CN"/>
                    </w:rPr>
                    <w:t>（现有）</w:t>
                  </w:r>
                  <w:r>
                    <w:rPr>
                      <w:rFonts w:hint="default" w:ascii="Times New Roman" w:hAnsi="Times New Roman" w:cs="Times New Roman"/>
                      <w:color w:val="auto"/>
                      <w:sz w:val="18"/>
                      <w:szCs w:val="18"/>
                      <w:highlight w:val="none"/>
                      <w:lang w:val="en-US" w:eastAsia="zh-CN"/>
                    </w:rPr>
                    <w:t>及一条玉米饼生产线</w:t>
                  </w:r>
                  <w:r>
                    <w:rPr>
                      <w:rFonts w:hint="eastAsia" w:cs="Times New Roman"/>
                      <w:color w:val="auto"/>
                      <w:sz w:val="18"/>
                      <w:szCs w:val="18"/>
                      <w:highlight w:val="none"/>
                      <w:lang w:val="en-US" w:eastAsia="zh-CN"/>
                    </w:rPr>
                    <w:t>（新建）</w:t>
                  </w:r>
                  <w:r>
                    <w:rPr>
                      <w:rFonts w:hint="default" w:ascii="Times New Roman" w:hAnsi="Times New Roman" w:cs="Times New Roman"/>
                      <w:color w:val="auto"/>
                      <w:sz w:val="18"/>
                      <w:szCs w:val="18"/>
                      <w:highlight w:val="none"/>
                      <w:lang w:val="en-US" w:eastAsia="zh-CN"/>
                    </w:rPr>
                    <w:t>，年产1500t玉米，400t玉米饼</w:t>
                  </w:r>
                  <w:r>
                    <w:rPr>
                      <w:rFonts w:hint="default" w:ascii="Times New Roman" w:hAnsi="Times New Roman" w:cs="Times New Roman"/>
                      <w:color w:val="auto"/>
                      <w:sz w:val="18"/>
                      <w:szCs w:val="18"/>
                      <w:highlight w:val="none"/>
                      <w:lang w:val="en-US" w:eastAsia="zh-CN"/>
                    </w:rPr>
                    <w:t>。内置50m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color w:val="auto"/>
                      <w:sz w:val="18"/>
                      <w:szCs w:val="18"/>
                      <w:highlight w:val="none"/>
                      <w:lang w:val="en-US" w:eastAsia="zh-CN"/>
                    </w:rPr>
                    <w:t>储存区域用于贮存原料，可贮存170t原料，可满足3天生产所需。</w:t>
                  </w:r>
                </w:p>
              </w:tc>
              <w:tc>
                <w:tcPr>
                  <w:tcW w:w="384" w:type="pct"/>
                  <w:vMerge w:val="restart"/>
                  <w:noWrap w:val="0"/>
                  <w:vAlign w:val="center"/>
                </w:tcPr>
                <w:p w14:paraId="60EB1F9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3t/h生物质蒸汽锅炉及其附属设施</w:t>
                  </w:r>
                  <w:r>
                    <w:rPr>
                      <w:rFonts w:hint="eastAsia" w:cs="Times New Roman"/>
                      <w:color w:val="auto"/>
                      <w:sz w:val="18"/>
                      <w:szCs w:val="18"/>
                      <w:highlight w:val="none"/>
                      <w:lang w:val="en-US" w:eastAsia="zh-CN"/>
                    </w:rPr>
                    <w:t>、玉米饼生产线为新建</w:t>
                  </w:r>
                </w:p>
                <w:p w14:paraId="2978A233">
                  <w:pPr>
                    <w:jc w:val="both"/>
                    <w:rPr>
                      <w:rFonts w:hint="default"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，其它</w:t>
                  </w:r>
                  <w:r>
                    <w:rPr>
                      <w:rFonts w:hint="default" w:ascii="Times New Roman" w:hAnsi="Times New Roman" w:eastAsia="宋体" w:cs="Times New Roman"/>
                      <w:color w:val="auto"/>
                      <w:sz w:val="18"/>
                      <w:szCs w:val="18"/>
                      <w:highlight w:val="none"/>
                      <w:lang w:eastAsia="zh-CN"/>
                    </w:rPr>
                    <w:t>租赁现有厂区及设备</w:t>
                  </w:r>
                </w:p>
              </w:tc>
            </w:tr>
            <w:tr w14:paraId="484924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continue"/>
                  <w:noWrap w:val="0"/>
                  <w:vAlign w:val="center"/>
                </w:tcPr>
                <w:p w14:paraId="0F5AF282">
                  <w:pPr>
                    <w:jc w:val="center"/>
                    <w:rPr>
                      <w:rFonts w:hint="default" w:ascii="Times New Roman" w:hAnsi="Times New Roman" w:cs="Times New Roman"/>
                      <w:color w:val="auto"/>
                      <w:sz w:val="18"/>
                      <w:szCs w:val="18"/>
                      <w:highlight w:val="none"/>
                    </w:rPr>
                  </w:pPr>
                </w:p>
              </w:tc>
              <w:tc>
                <w:tcPr>
                  <w:tcW w:w="869" w:type="pct"/>
                  <w:noWrap w:val="0"/>
                  <w:vAlign w:val="center"/>
                </w:tcPr>
                <w:p w14:paraId="46F311BA">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速冻冷藏库</w:t>
                  </w:r>
                </w:p>
              </w:tc>
              <w:tc>
                <w:tcPr>
                  <w:tcW w:w="3448" w:type="pct"/>
                  <w:noWrap w:val="0"/>
                  <w:vAlign w:val="center"/>
                </w:tcPr>
                <w:p w14:paraId="3E2A275E">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建筑面积750平方米、900平方米的速冻库两座，功能</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速冻冷藏库，贮存粘玉米</w:t>
                  </w:r>
                  <w:r>
                    <w:rPr>
                      <w:rFonts w:hint="default" w:ascii="Times New Roman" w:hAnsi="Times New Roman" w:cs="Times New Roman"/>
                      <w:color w:val="auto"/>
                      <w:sz w:val="18"/>
                      <w:szCs w:val="18"/>
                      <w:highlight w:val="none"/>
                      <w:lang w:eastAsia="zh-CN"/>
                    </w:rPr>
                    <w:t>及玉米饼</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rPr>
                    <w:t>年贮存能力2000吨</w:t>
                  </w:r>
                  <w:r>
                    <w:rPr>
                      <w:rFonts w:hint="default" w:ascii="Times New Roman" w:hAnsi="Times New Roman" w:cs="Times New Roman"/>
                      <w:color w:val="auto"/>
                      <w:sz w:val="18"/>
                      <w:szCs w:val="18"/>
                      <w:highlight w:val="none"/>
                      <w:lang w:eastAsia="zh-CN"/>
                    </w:rPr>
                    <w:t>，可满足</w:t>
                  </w:r>
                  <w:r>
                    <w:rPr>
                      <w:rFonts w:hint="default" w:ascii="Times New Roman" w:hAnsi="Times New Roman" w:cs="Times New Roman"/>
                      <w:color w:val="auto"/>
                      <w:sz w:val="18"/>
                      <w:szCs w:val="18"/>
                      <w:highlight w:val="none"/>
                      <w:lang w:val="en-US" w:eastAsia="zh-CN"/>
                    </w:rPr>
                    <w:t>40天生产所需</w:t>
                  </w:r>
                  <w:r>
                    <w:rPr>
                      <w:rFonts w:hint="default" w:ascii="Times New Roman" w:hAnsi="Times New Roman" w:cs="Times New Roman"/>
                      <w:color w:val="auto"/>
                      <w:sz w:val="18"/>
                      <w:szCs w:val="18"/>
                      <w:highlight w:val="none"/>
                    </w:rPr>
                    <w:t>。采用</w:t>
                  </w:r>
                  <w:r>
                    <w:rPr>
                      <w:rFonts w:hint="default" w:ascii="Times New Roman" w:hAnsi="Times New Roman" w:eastAsia="宋体" w:cs="Times New Roman"/>
                      <w:color w:val="auto"/>
                      <w:sz w:val="18"/>
                      <w:szCs w:val="18"/>
                      <w:highlight w:val="none"/>
                    </w:rPr>
                    <w:t>氟利昂-R507</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本</w:t>
                  </w:r>
                  <w:r>
                    <w:rPr>
                      <w:rFonts w:hint="default" w:ascii="Times New Roman" w:hAnsi="Times New Roman" w:cs="Times New Roman"/>
                      <w:color w:val="auto"/>
                      <w:sz w:val="18"/>
                      <w:szCs w:val="18"/>
                      <w:highlight w:val="none"/>
                    </w:rPr>
                    <w:t>项目制冷剂为钢瓶包装，储存在阴凉、干燥、通风的仓内，年储存2吨制冷剂。</w:t>
                  </w:r>
                </w:p>
              </w:tc>
              <w:tc>
                <w:tcPr>
                  <w:tcW w:w="384" w:type="pct"/>
                  <w:vMerge w:val="continue"/>
                  <w:noWrap w:val="0"/>
                  <w:vAlign w:val="center"/>
                </w:tcPr>
                <w:p w14:paraId="0E4E006B">
                  <w:pPr>
                    <w:jc w:val="center"/>
                    <w:rPr>
                      <w:rFonts w:hint="default" w:ascii="Times New Roman" w:hAnsi="Times New Roman" w:eastAsia="宋体" w:cs="Times New Roman"/>
                      <w:color w:val="auto"/>
                      <w:sz w:val="18"/>
                      <w:szCs w:val="18"/>
                      <w:highlight w:val="none"/>
                      <w:lang w:eastAsia="zh-CN"/>
                    </w:rPr>
                  </w:pPr>
                </w:p>
              </w:tc>
            </w:tr>
            <w:tr w14:paraId="710EC6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restart"/>
                  <w:noWrap w:val="0"/>
                  <w:vAlign w:val="center"/>
                </w:tcPr>
                <w:p w14:paraId="5AC6A10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储运工程</w:t>
                  </w:r>
                </w:p>
              </w:tc>
              <w:tc>
                <w:tcPr>
                  <w:tcW w:w="869" w:type="pct"/>
                  <w:noWrap w:val="0"/>
                  <w:vAlign w:val="center"/>
                </w:tcPr>
                <w:p w14:paraId="62CA097F">
                  <w:pPr>
                    <w:jc w:val="center"/>
                    <w:textAlignment w:val="center"/>
                    <w:rPr>
                      <w:rFonts w:hint="default" w:ascii="Times New Roman" w:hAnsi="Times New Roman" w:eastAsia="宋体" w:cs="Times New Roman"/>
                      <w:color w:val="auto"/>
                      <w:sz w:val="18"/>
                      <w:szCs w:val="18"/>
                      <w:highlight w:val="none"/>
                      <w:lang w:eastAsia="zh-CN"/>
                    </w:rPr>
                  </w:pPr>
                  <w:r>
                    <w:rPr>
                      <w:rStyle w:val="19"/>
                      <w:rFonts w:hint="default" w:ascii="Times New Roman" w:hAnsi="Times New Roman" w:cs="Times New Roman"/>
                      <w:color w:val="auto"/>
                      <w:sz w:val="18"/>
                      <w:szCs w:val="18"/>
                      <w:highlight w:val="none"/>
                      <w:lang w:eastAsia="zh-CN" w:bidi="ar"/>
                    </w:rPr>
                    <w:t>生物质储存间</w:t>
                  </w:r>
                </w:p>
              </w:tc>
              <w:tc>
                <w:tcPr>
                  <w:tcW w:w="3448" w:type="pct"/>
                  <w:noWrap w:val="0"/>
                  <w:vAlign w:val="center"/>
                </w:tcPr>
                <w:p w14:paraId="0B52AC9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建筑面积</w:t>
                  </w:r>
                  <w:r>
                    <w:rPr>
                      <w:rFonts w:hint="default" w:ascii="Times New Roman" w:hAnsi="Times New Roman" w:cs="Times New Roman"/>
                      <w:color w:val="auto"/>
                      <w:sz w:val="18"/>
                      <w:szCs w:val="18"/>
                      <w:highlight w:val="none"/>
                      <w:lang w:val="en-US" w:eastAsia="zh-CN"/>
                    </w:rPr>
                    <w:t>300m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燃料为生物质颗粒，最大容积为</w:t>
                  </w:r>
                  <w:r>
                    <w:rPr>
                      <w:rFonts w:hint="default" w:ascii="Times New Roman" w:hAnsi="Times New Roman" w:cs="Times New Roman"/>
                      <w:color w:val="auto"/>
                      <w:sz w:val="18"/>
                      <w:szCs w:val="18"/>
                      <w:highlight w:val="none"/>
                      <w:lang w:val="en-US" w:eastAsia="zh-CN"/>
                    </w:rPr>
                    <w:t>360m</w:t>
                  </w:r>
                  <w:r>
                    <w:rPr>
                      <w:rFonts w:hint="default" w:ascii="Times New Roman" w:hAnsi="Times New Roman" w:cs="Times New Roman"/>
                      <w:color w:val="auto"/>
                      <w:sz w:val="18"/>
                      <w:szCs w:val="18"/>
                      <w:highlight w:val="none"/>
                      <w:vertAlign w:val="superscript"/>
                      <w:lang w:val="en-US" w:eastAsia="zh-CN"/>
                    </w:rPr>
                    <w:t>3</w:t>
                  </w:r>
                </w:p>
              </w:tc>
              <w:tc>
                <w:tcPr>
                  <w:tcW w:w="384" w:type="pct"/>
                  <w:vMerge w:val="continue"/>
                  <w:noWrap w:val="0"/>
                  <w:vAlign w:val="center"/>
                </w:tcPr>
                <w:p w14:paraId="79E8B322">
                  <w:pPr>
                    <w:jc w:val="center"/>
                    <w:rPr>
                      <w:rFonts w:hint="default" w:ascii="Times New Roman" w:hAnsi="Times New Roman" w:cs="Times New Roman"/>
                      <w:color w:val="auto"/>
                      <w:sz w:val="18"/>
                      <w:szCs w:val="18"/>
                      <w:highlight w:val="none"/>
                      <w:lang w:val="zh-CN"/>
                    </w:rPr>
                  </w:pPr>
                </w:p>
              </w:tc>
            </w:tr>
            <w:tr w14:paraId="6BF99E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continue"/>
                  <w:noWrap w:val="0"/>
                  <w:vAlign w:val="center"/>
                </w:tcPr>
                <w:p w14:paraId="5A908317">
                  <w:pPr>
                    <w:jc w:val="center"/>
                    <w:rPr>
                      <w:rFonts w:hint="default" w:ascii="Times New Roman" w:hAnsi="Times New Roman" w:cs="Times New Roman"/>
                      <w:color w:val="auto"/>
                      <w:sz w:val="18"/>
                      <w:szCs w:val="18"/>
                      <w:highlight w:val="none"/>
                    </w:rPr>
                  </w:pPr>
                </w:p>
              </w:tc>
              <w:tc>
                <w:tcPr>
                  <w:tcW w:w="869" w:type="pct"/>
                  <w:noWrap w:val="0"/>
                  <w:vAlign w:val="center"/>
                </w:tcPr>
                <w:p w14:paraId="4BAB98C9">
                  <w:pPr>
                    <w:jc w:val="center"/>
                    <w:textAlignment w:val="center"/>
                    <w:rPr>
                      <w:rFonts w:hint="default" w:ascii="Times New Roman" w:hAnsi="Times New Roman" w:eastAsia="宋体" w:cs="Times New Roman"/>
                      <w:color w:val="auto"/>
                      <w:sz w:val="18"/>
                      <w:szCs w:val="18"/>
                      <w:highlight w:val="none"/>
                      <w:lang w:eastAsia="zh-CN"/>
                    </w:rPr>
                  </w:pPr>
                  <w:r>
                    <w:rPr>
                      <w:rStyle w:val="19"/>
                      <w:rFonts w:hint="default" w:ascii="Times New Roman" w:hAnsi="Times New Roman" w:cs="Times New Roman"/>
                      <w:color w:val="auto"/>
                      <w:sz w:val="18"/>
                      <w:szCs w:val="18"/>
                      <w:highlight w:val="none"/>
                      <w:lang w:eastAsia="zh-CN" w:bidi="ar"/>
                    </w:rPr>
                    <w:t>灰渣间</w:t>
                  </w:r>
                </w:p>
              </w:tc>
              <w:tc>
                <w:tcPr>
                  <w:tcW w:w="3448" w:type="pct"/>
                  <w:noWrap w:val="0"/>
                  <w:vAlign w:val="center"/>
                </w:tcPr>
                <w:p w14:paraId="709B23EC">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建筑面积</w:t>
                  </w:r>
                  <w:r>
                    <w:rPr>
                      <w:rFonts w:hint="default" w:ascii="Times New Roman" w:hAnsi="Times New Roman" w:cs="Times New Roman"/>
                      <w:color w:val="auto"/>
                      <w:sz w:val="18"/>
                      <w:szCs w:val="18"/>
                      <w:highlight w:val="none"/>
                      <w:lang w:val="en-US" w:eastAsia="zh-CN"/>
                    </w:rPr>
                    <w:t>100m</w:t>
                  </w:r>
                  <w:r>
                    <w:rPr>
                      <w:rFonts w:hint="default" w:ascii="Times New Roman" w:hAnsi="Times New Roman" w:cs="Times New Roman"/>
                      <w:color w:val="auto"/>
                      <w:sz w:val="18"/>
                      <w:szCs w:val="18"/>
                      <w:highlight w:val="none"/>
                      <w:vertAlign w:val="superscript"/>
                      <w:lang w:val="en-US" w:eastAsia="zh-CN"/>
                    </w:rPr>
                    <w:t>2</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封闭式灰渣储存间，最大容积为</w:t>
                  </w:r>
                  <w:r>
                    <w:rPr>
                      <w:rFonts w:hint="default" w:ascii="Times New Roman" w:hAnsi="Times New Roman" w:cs="Times New Roman"/>
                      <w:color w:val="auto"/>
                      <w:sz w:val="18"/>
                      <w:szCs w:val="18"/>
                      <w:highlight w:val="none"/>
                      <w:lang w:val="en-US" w:eastAsia="zh-CN"/>
                    </w:rPr>
                    <w:t>120m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vertAlign w:val="baseline"/>
                      <w:lang w:val="en-US" w:eastAsia="zh-CN"/>
                    </w:rPr>
                    <w:t>，用于贮存一般固废</w:t>
                  </w:r>
                </w:p>
              </w:tc>
              <w:tc>
                <w:tcPr>
                  <w:tcW w:w="384" w:type="pct"/>
                  <w:vMerge w:val="continue"/>
                  <w:noWrap w:val="0"/>
                  <w:vAlign w:val="center"/>
                </w:tcPr>
                <w:p w14:paraId="22AF6A43">
                  <w:pPr>
                    <w:jc w:val="center"/>
                    <w:rPr>
                      <w:rFonts w:hint="default" w:ascii="Times New Roman" w:hAnsi="Times New Roman" w:cs="Times New Roman"/>
                      <w:color w:val="auto"/>
                      <w:sz w:val="18"/>
                      <w:szCs w:val="18"/>
                      <w:highlight w:val="none"/>
                      <w:lang w:val="zh-CN"/>
                    </w:rPr>
                  </w:pPr>
                </w:p>
              </w:tc>
            </w:tr>
            <w:tr w14:paraId="392D54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restart"/>
                  <w:noWrap w:val="0"/>
                  <w:vAlign w:val="center"/>
                </w:tcPr>
                <w:p w14:paraId="1B71979F">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辅助工程</w:t>
                  </w:r>
                </w:p>
              </w:tc>
              <w:tc>
                <w:tcPr>
                  <w:tcW w:w="869" w:type="pct"/>
                  <w:noWrap w:val="0"/>
                  <w:vAlign w:val="center"/>
                </w:tcPr>
                <w:p w14:paraId="05B74209">
                  <w:pPr>
                    <w:jc w:val="center"/>
                    <w:textAlignment w:val="center"/>
                    <w:rPr>
                      <w:rFonts w:hint="default" w:ascii="Times New Roman" w:hAnsi="Times New Roman" w:eastAsia="宋体" w:cs="Times New Roman"/>
                      <w:color w:val="auto"/>
                      <w:kern w:val="2"/>
                      <w:sz w:val="18"/>
                      <w:szCs w:val="18"/>
                      <w:highlight w:val="none"/>
                      <w:lang w:val="en-US" w:eastAsia="zh-CN" w:bidi="ar-SA"/>
                    </w:rPr>
                  </w:pPr>
                  <w:r>
                    <w:rPr>
                      <w:rStyle w:val="19"/>
                      <w:rFonts w:hint="default" w:ascii="Times New Roman" w:hAnsi="Times New Roman" w:eastAsia="宋体" w:cs="Times New Roman"/>
                      <w:color w:val="auto"/>
                      <w:sz w:val="18"/>
                      <w:szCs w:val="18"/>
                      <w:highlight w:val="none"/>
                      <w:lang w:eastAsia="zh-CN" w:bidi="ar"/>
                    </w:rPr>
                    <w:t>办公及生活用房</w:t>
                  </w:r>
                </w:p>
              </w:tc>
              <w:tc>
                <w:tcPr>
                  <w:tcW w:w="3448" w:type="pct"/>
                  <w:noWrap w:val="0"/>
                  <w:vAlign w:val="center"/>
                </w:tcPr>
                <w:p w14:paraId="1D21F9B9">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1层建筑面积200平方米，功能：工作办公及宿舍。</w:t>
                  </w:r>
                </w:p>
              </w:tc>
              <w:tc>
                <w:tcPr>
                  <w:tcW w:w="384" w:type="pct"/>
                  <w:vMerge w:val="continue"/>
                  <w:noWrap w:val="0"/>
                  <w:vAlign w:val="center"/>
                </w:tcPr>
                <w:p w14:paraId="7CB153A0">
                  <w:pPr>
                    <w:jc w:val="center"/>
                    <w:rPr>
                      <w:rFonts w:hint="default" w:ascii="Times New Roman" w:hAnsi="Times New Roman" w:cs="Times New Roman"/>
                      <w:color w:val="auto"/>
                      <w:sz w:val="18"/>
                      <w:szCs w:val="18"/>
                      <w:highlight w:val="none"/>
                      <w:lang w:val="zh-CN"/>
                    </w:rPr>
                  </w:pPr>
                </w:p>
              </w:tc>
            </w:tr>
            <w:tr w14:paraId="1CB823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continue"/>
                  <w:noWrap w:val="0"/>
                  <w:vAlign w:val="center"/>
                </w:tcPr>
                <w:p w14:paraId="5D584786">
                  <w:pPr>
                    <w:jc w:val="center"/>
                    <w:rPr>
                      <w:rFonts w:hint="default" w:ascii="Times New Roman" w:hAnsi="Times New Roman" w:cs="Times New Roman"/>
                      <w:color w:val="auto"/>
                      <w:sz w:val="18"/>
                      <w:szCs w:val="18"/>
                      <w:highlight w:val="none"/>
                      <w:lang w:eastAsia="zh-CN"/>
                    </w:rPr>
                  </w:pPr>
                </w:p>
              </w:tc>
              <w:tc>
                <w:tcPr>
                  <w:tcW w:w="869" w:type="pct"/>
                  <w:noWrap w:val="0"/>
                  <w:vAlign w:val="center"/>
                </w:tcPr>
                <w:p w14:paraId="2093E780">
                  <w:pPr>
                    <w:jc w:val="center"/>
                    <w:rPr>
                      <w:rStyle w:val="19"/>
                      <w:rFonts w:hint="default" w:ascii="Times New Roman" w:hAnsi="Times New Roman" w:eastAsia="宋体" w:cs="Times New Roman"/>
                      <w:color w:val="auto"/>
                      <w:sz w:val="18"/>
                      <w:szCs w:val="18"/>
                      <w:highlight w:val="none"/>
                      <w:lang w:eastAsia="zh-CN" w:bidi="ar"/>
                    </w:rPr>
                  </w:pPr>
                  <w:r>
                    <w:rPr>
                      <w:rFonts w:hint="default" w:ascii="Times New Roman" w:hAnsi="Times New Roman" w:cs="Times New Roman"/>
                      <w:color w:val="auto"/>
                      <w:sz w:val="18"/>
                      <w:szCs w:val="18"/>
                      <w:highlight w:val="none"/>
                      <w:lang w:eastAsia="zh-CN"/>
                    </w:rPr>
                    <w:t>锅炉房</w:t>
                  </w:r>
                </w:p>
              </w:tc>
              <w:tc>
                <w:tcPr>
                  <w:tcW w:w="3448" w:type="pct"/>
                  <w:noWrap w:val="0"/>
                  <w:vAlign w:val="center"/>
                </w:tcPr>
                <w:p w14:paraId="4005F33D">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rPr>
                    <w:t>占地面积</w:t>
                  </w:r>
                  <w:r>
                    <w:rPr>
                      <w:rFonts w:hint="default" w:ascii="Times New Roman" w:hAnsi="Times New Roman" w:cs="Times New Roman"/>
                      <w:color w:val="auto"/>
                      <w:sz w:val="18"/>
                      <w:szCs w:val="18"/>
                      <w:highlight w:val="none"/>
                      <w:lang w:val="en-US" w:eastAsia="zh-CN"/>
                    </w:rPr>
                    <w:t>200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，建筑面积</w:t>
                  </w:r>
                  <w:r>
                    <w:rPr>
                      <w:rFonts w:hint="default" w:ascii="Times New Roman" w:hAnsi="Times New Roman" w:cs="Times New Roman"/>
                      <w:color w:val="auto"/>
                      <w:sz w:val="18"/>
                      <w:szCs w:val="18"/>
                      <w:highlight w:val="none"/>
                      <w:lang w:val="en-US" w:eastAsia="zh-CN"/>
                    </w:rPr>
                    <w:t>200</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eastAsia="zh-CN"/>
                    </w:rPr>
                    <w:t>设置</w:t>
                  </w:r>
                  <w:r>
                    <w:rPr>
                      <w:rFonts w:hint="default" w:ascii="Times New Roman" w:hAnsi="Times New Roman" w:cs="Times New Roman"/>
                      <w:color w:val="auto"/>
                      <w:sz w:val="18"/>
                      <w:szCs w:val="18"/>
                      <w:highlight w:val="none"/>
                      <w:lang w:val="en-US" w:eastAsia="zh-CN"/>
                    </w:rPr>
                    <w:t>1台3t/h生物质蒸汽锅炉</w:t>
                  </w:r>
                  <w:r>
                    <w:rPr>
                      <w:rFonts w:hint="default" w:ascii="Times New Roman" w:hAnsi="Times New Roman" w:cs="Times New Roman"/>
                      <w:color w:val="auto"/>
                      <w:sz w:val="18"/>
                      <w:szCs w:val="18"/>
                      <w:highlight w:val="none"/>
                      <w:lang w:eastAsia="zh-CN"/>
                    </w:rPr>
                    <w:t>用于生产用热</w:t>
                  </w:r>
                </w:p>
              </w:tc>
              <w:tc>
                <w:tcPr>
                  <w:tcW w:w="384" w:type="pct"/>
                  <w:vMerge w:val="continue"/>
                  <w:noWrap w:val="0"/>
                  <w:vAlign w:val="center"/>
                </w:tcPr>
                <w:p w14:paraId="676158BC">
                  <w:pPr>
                    <w:jc w:val="center"/>
                    <w:rPr>
                      <w:rFonts w:hint="default" w:ascii="Times New Roman" w:hAnsi="Times New Roman" w:cs="Times New Roman"/>
                      <w:color w:val="auto"/>
                      <w:sz w:val="18"/>
                      <w:szCs w:val="18"/>
                      <w:highlight w:val="none"/>
                      <w:lang w:val="zh-CN"/>
                    </w:rPr>
                  </w:pPr>
                </w:p>
              </w:tc>
            </w:tr>
            <w:tr w14:paraId="156F45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7" w:type="pct"/>
                  <w:vMerge w:val="restart"/>
                  <w:noWrap w:val="0"/>
                  <w:vAlign w:val="center"/>
                </w:tcPr>
                <w:p w14:paraId="59A8AA67">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公用工程</w:t>
                  </w:r>
                </w:p>
              </w:tc>
              <w:tc>
                <w:tcPr>
                  <w:tcW w:w="869" w:type="pct"/>
                  <w:noWrap w:val="0"/>
                  <w:vAlign w:val="center"/>
                </w:tcPr>
                <w:p w14:paraId="59F5F54E">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供水工程</w:t>
                  </w:r>
                </w:p>
              </w:tc>
              <w:tc>
                <w:tcPr>
                  <w:tcW w:w="3448" w:type="pct"/>
                  <w:noWrap w:val="0"/>
                  <w:vAlign w:val="center"/>
                </w:tcPr>
                <w:p w14:paraId="38167CAD">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本项目供水采用由市政供水管网提供。</w:t>
                  </w:r>
                </w:p>
              </w:tc>
              <w:tc>
                <w:tcPr>
                  <w:tcW w:w="384" w:type="pct"/>
                  <w:vMerge w:val="continue"/>
                  <w:noWrap w:val="0"/>
                  <w:vAlign w:val="center"/>
                </w:tcPr>
                <w:p w14:paraId="1E86031C">
                  <w:pPr>
                    <w:jc w:val="center"/>
                    <w:rPr>
                      <w:rFonts w:hint="default" w:ascii="Times New Roman" w:hAnsi="Times New Roman" w:eastAsia="宋体" w:cs="Times New Roman"/>
                      <w:color w:val="auto"/>
                      <w:sz w:val="18"/>
                      <w:szCs w:val="18"/>
                      <w:highlight w:val="none"/>
                      <w:lang w:eastAsia="zh-CN"/>
                    </w:rPr>
                  </w:pPr>
                </w:p>
              </w:tc>
            </w:tr>
            <w:tr w14:paraId="3E2C46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7" w:type="pct"/>
                  <w:vMerge w:val="continue"/>
                  <w:noWrap w:val="0"/>
                  <w:vAlign w:val="center"/>
                </w:tcPr>
                <w:p w14:paraId="74594F92">
                  <w:pPr>
                    <w:jc w:val="center"/>
                    <w:rPr>
                      <w:rFonts w:hint="default" w:ascii="Times New Roman" w:hAnsi="Times New Roman" w:cs="Times New Roman"/>
                      <w:color w:val="auto"/>
                      <w:sz w:val="18"/>
                      <w:szCs w:val="18"/>
                      <w:highlight w:val="none"/>
                    </w:rPr>
                  </w:pPr>
                </w:p>
              </w:tc>
              <w:tc>
                <w:tcPr>
                  <w:tcW w:w="869" w:type="pct"/>
                  <w:noWrap w:val="0"/>
                  <w:vAlign w:val="center"/>
                </w:tcPr>
                <w:p w14:paraId="1857CAA6">
                  <w:pPr>
                    <w:pStyle w:val="20"/>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排水工程</w:t>
                  </w:r>
                </w:p>
              </w:tc>
              <w:tc>
                <w:tcPr>
                  <w:tcW w:w="3448" w:type="pct"/>
                  <w:noWrap w:val="0"/>
                  <w:vAlign w:val="center"/>
                </w:tcPr>
                <w:p w14:paraId="5B1EB678">
                  <w:pPr>
                    <w:pStyle w:val="2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生活污水排入防渗旱厕，定期清掏，外运堆肥；生产废水排入</w:t>
                  </w:r>
                  <w:r>
                    <w:rPr>
                      <w:rFonts w:hint="default" w:ascii="Times New Roman" w:hAnsi="Times New Roman" w:cs="Times New Roman"/>
                      <w:color w:val="auto"/>
                      <w:sz w:val="18"/>
                      <w:szCs w:val="18"/>
                      <w:highlight w:val="none"/>
                      <w:lang w:val="en-US" w:eastAsia="zh-CN"/>
                    </w:rPr>
                    <w:t>16m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防渗储池内，每五天拉运至连丰乡污水处理厂一次</w:t>
                  </w:r>
                  <w:r>
                    <w:rPr>
                      <w:rFonts w:hint="default" w:ascii="Times New Roman" w:hAnsi="Times New Roman" w:cs="Times New Roman"/>
                      <w:color w:val="auto"/>
                      <w:sz w:val="18"/>
                      <w:szCs w:val="18"/>
                      <w:highlight w:val="none"/>
                      <w:lang w:eastAsia="zh-CN"/>
                    </w:rPr>
                    <w:t>。</w:t>
                  </w:r>
                </w:p>
              </w:tc>
              <w:tc>
                <w:tcPr>
                  <w:tcW w:w="384" w:type="pct"/>
                  <w:vMerge w:val="continue"/>
                  <w:noWrap w:val="0"/>
                  <w:vAlign w:val="center"/>
                </w:tcPr>
                <w:p w14:paraId="34F24041">
                  <w:pPr>
                    <w:jc w:val="center"/>
                    <w:rPr>
                      <w:rFonts w:hint="default" w:ascii="Times New Roman" w:hAnsi="Times New Roman" w:cs="Times New Roman"/>
                      <w:color w:val="auto"/>
                      <w:sz w:val="18"/>
                      <w:szCs w:val="18"/>
                      <w:highlight w:val="none"/>
                    </w:rPr>
                  </w:pPr>
                </w:p>
              </w:tc>
            </w:tr>
            <w:tr w14:paraId="40FEF2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97" w:type="pct"/>
                  <w:vMerge w:val="continue"/>
                  <w:noWrap w:val="0"/>
                  <w:vAlign w:val="center"/>
                </w:tcPr>
                <w:p w14:paraId="4D18E7ED">
                  <w:pPr>
                    <w:jc w:val="center"/>
                    <w:rPr>
                      <w:rFonts w:hint="default" w:ascii="Times New Roman" w:hAnsi="Times New Roman" w:cs="Times New Roman"/>
                      <w:color w:val="auto"/>
                      <w:sz w:val="18"/>
                      <w:szCs w:val="18"/>
                      <w:highlight w:val="none"/>
                    </w:rPr>
                  </w:pPr>
                </w:p>
              </w:tc>
              <w:tc>
                <w:tcPr>
                  <w:tcW w:w="869" w:type="pct"/>
                  <w:noWrap w:val="0"/>
                  <w:vAlign w:val="center"/>
                </w:tcPr>
                <w:p w14:paraId="1E786577">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供电工程</w:t>
                  </w:r>
                </w:p>
              </w:tc>
              <w:tc>
                <w:tcPr>
                  <w:tcW w:w="3448" w:type="pct"/>
                  <w:noWrap w:val="0"/>
                  <w:vAlign w:val="center"/>
                </w:tcPr>
                <w:p w14:paraId="212EE5D1">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市政供电</w:t>
                  </w:r>
                </w:p>
              </w:tc>
              <w:tc>
                <w:tcPr>
                  <w:tcW w:w="384" w:type="pct"/>
                  <w:vMerge w:val="continue"/>
                  <w:noWrap w:val="0"/>
                  <w:vAlign w:val="center"/>
                </w:tcPr>
                <w:p w14:paraId="10D7FB8E">
                  <w:pPr>
                    <w:jc w:val="center"/>
                    <w:rPr>
                      <w:rFonts w:hint="default" w:ascii="Times New Roman" w:hAnsi="Times New Roman" w:cs="Times New Roman"/>
                      <w:color w:val="auto"/>
                      <w:kern w:val="2"/>
                      <w:sz w:val="18"/>
                      <w:szCs w:val="18"/>
                      <w:highlight w:val="none"/>
                      <w:lang w:val="en-US" w:eastAsia="zh-CN" w:bidi="ar-SA"/>
                    </w:rPr>
                  </w:pPr>
                </w:p>
              </w:tc>
            </w:tr>
            <w:tr w14:paraId="306521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97" w:type="pct"/>
                  <w:vMerge w:val="continue"/>
                  <w:noWrap w:val="0"/>
                  <w:vAlign w:val="center"/>
                </w:tcPr>
                <w:p w14:paraId="55FB7BE5">
                  <w:pPr>
                    <w:jc w:val="center"/>
                    <w:rPr>
                      <w:rFonts w:hint="default" w:ascii="Times New Roman" w:hAnsi="Times New Roman" w:cs="Times New Roman"/>
                      <w:color w:val="auto"/>
                      <w:sz w:val="18"/>
                      <w:szCs w:val="18"/>
                      <w:highlight w:val="none"/>
                    </w:rPr>
                  </w:pPr>
                </w:p>
              </w:tc>
              <w:tc>
                <w:tcPr>
                  <w:tcW w:w="869" w:type="pct"/>
                  <w:noWrap w:val="0"/>
                  <w:vAlign w:val="center"/>
                </w:tcPr>
                <w:p w14:paraId="04B2F8D6">
                  <w:pPr>
                    <w:pStyle w:val="20"/>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供热工程</w:t>
                  </w:r>
                </w:p>
              </w:tc>
              <w:tc>
                <w:tcPr>
                  <w:tcW w:w="3448" w:type="pct"/>
                  <w:noWrap w:val="0"/>
                  <w:vAlign w:val="center"/>
                </w:tcPr>
                <w:p w14:paraId="4E07CB24">
                  <w:pPr>
                    <w:pStyle w:val="2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1台3t/h生物质蒸汽锅炉</w:t>
                  </w:r>
                  <w:r>
                    <w:rPr>
                      <w:rFonts w:hint="default" w:ascii="Times New Roman" w:hAnsi="Times New Roman" w:cs="Times New Roman"/>
                      <w:color w:val="auto"/>
                      <w:sz w:val="18"/>
                      <w:szCs w:val="18"/>
                      <w:highlight w:val="none"/>
                      <w:lang w:eastAsia="zh-CN"/>
                    </w:rPr>
                    <w:t>用于生产用热，运营期不处于冬季供暖期，不涉及生活供暖</w:t>
                  </w:r>
                </w:p>
              </w:tc>
              <w:tc>
                <w:tcPr>
                  <w:tcW w:w="384" w:type="pct"/>
                  <w:vMerge w:val="continue"/>
                  <w:noWrap w:val="0"/>
                  <w:vAlign w:val="center"/>
                </w:tcPr>
                <w:p w14:paraId="2110AA6A">
                  <w:pPr>
                    <w:jc w:val="center"/>
                    <w:rPr>
                      <w:rFonts w:hint="default" w:ascii="Times New Roman" w:hAnsi="Times New Roman" w:cs="Times New Roman"/>
                      <w:highlight w:val="none"/>
                      <w:lang w:eastAsia="zh-CN"/>
                    </w:rPr>
                  </w:pPr>
                </w:p>
              </w:tc>
            </w:tr>
            <w:tr w14:paraId="1347F5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restart"/>
                  <w:noWrap w:val="0"/>
                  <w:vAlign w:val="center"/>
                </w:tcPr>
                <w:p w14:paraId="7D79247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环保工程</w:t>
                  </w:r>
                </w:p>
              </w:tc>
              <w:tc>
                <w:tcPr>
                  <w:tcW w:w="869" w:type="pct"/>
                  <w:noWrap w:val="0"/>
                  <w:vAlign w:val="center"/>
                </w:tcPr>
                <w:p w14:paraId="24FFA13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废水处理</w:t>
                  </w:r>
                </w:p>
              </w:tc>
              <w:tc>
                <w:tcPr>
                  <w:tcW w:w="3448" w:type="pct"/>
                  <w:noWrap w:val="0"/>
                  <w:vAlign w:val="center"/>
                </w:tcPr>
                <w:p w14:paraId="6792586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生活污水排入防渗旱厕，定期清掏，外运堆肥；生产废水排入</w:t>
                  </w:r>
                  <w:r>
                    <w:rPr>
                      <w:rFonts w:hint="default" w:ascii="Times New Roman" w:hAnsi="Times New Roman" w:cs="Times New Roman"/>
                      <w:color w:val="auto"/>
                      <w:sz w:val="18"/>
                      <w:szCs w:val="18"/>
                      <w:highlight w:val="none"/>
                      <w:lang w:val="en-US" w:eastAsia="zh-CN"/>
                    </w:rPr>
                    <w:t>16m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防渗储池内，每五天拉运至连丰乡污水处理厂一次</w:t>
                  </w:r>
                  <w:r>
                    <w:rPr>
                      <w:rFonts w:hint="default" w:ascii="Times New Roman" w:hAnsi="Times New Roman" w:cs="Times New Roman"/>
                      <w:color w:val="auto"/>
                      <w:sz w:val="18"/>
                      <w:szCs w:val="18"/>
                      <w:highlight w:val="none"/>
                      <w:lang w:eastAsia="zh-CN"/>
                    </w:rPr>
                    <w:t>。</w:t>
                  </w:r>
                </w:p>
              </w:tc>
              <w:tc>
                <w:tcPr>
                  <w:tcW w:w="384" w:type="pct"/>
                  <w:vMerge w:val="continue"/>
                  <w:noWrap w:val="0"/>
                  <w:vAlign w:val="center"/>
                </w:tcPr>
                <w:p w14:paraId="718BA589">
                  <w:pPr>
                    <w:jc w:val="center"/>
                    <w:rPr>
                      <w:rFonts w:hint="default" w:ascii="Times New Roman" w:hAnsi="Times New Roman" w:eastAsia="宋体" w:cs="Times New Roman"/>
                      <w:color w:val="auto"/>
                      <w:sz w:val="18"/>
                      <w:szCs w:val="18"/>
                      <w:highlight w:val="none"/>
                      <w:lang w:eastAsia="zh-CN"/>
                    </w:rPr>
                  </w:pPr>
                </w:p>
              </w:tc>
            </w:tr>
            <w:tr w14:paraId="6DAAE8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97" w:type="pct"/>
                  <w:vMerge w:val="continue"/>
                  <w:noWrap w:val="0"/>
                  <w:vAlign w:val="center"/>
                </w:tcPr>
                <w:p w14:paraId="5C5DB22D">
                  <w:pPr>
                    <w:ind w:firstLine="90" w:firstLineChars="50"/>
                    <w:jc w:val="center"/>
                    <w:rPr>
                      <w:rFonts w:hint="default" w:ascii="Times New Roman" w:hAnsi="Times New Roman" w:cs="Times New Roman"/>
                      <w:color w:val="auto"/>
                      <w:sz w:val="18"/>
                      <w:szCs w:val="18"/>
                      <w:highlight w:val="none"/>
                    </w:rPr>
                  </w:pPr>
                </w:p>
              </w:tc>
              <w:tc>
                <w:tcPr>
                  <w:tcW w:w="869" w:type="pct"/>
                  <w:noWrap w:val="0"/>
                  <w:vAlign w:val="center"/>
                </w:tcPr>
                <w:p w14:paraId="13E82FA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废气处理</w:t>
                  </w:r>
                </w:p>
              </w:tc>
              <w:tc>
                <w:tcPr>
                  <w:tcW w:w="3448" w:type="pct"/>
                  <w:noWrap w:val="0"/>
                  <w:vAlign w:val="center"/>
                </w:tcPr>
                <w:p w14:paraId="68B49B48">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3t/h生物质</w:t>
                  </w:r>
                  <w:r>
                    <w:rPr>
                      <w:rFonts w:hint="default" w:ascii="Times New Roman" w:hAnsi="Times New Roman" w:eastAsia="宋体" w:cs="Times New Roman"/>
                      <w:color w:val="auto"/>
                      <w:sz w:val="18"/>
                      <w:szCs w:val="18"/>
                      <w:highlight w:val="none"/>
                      <w:lang w:eastAsia="zh-CN"/>
                    </w:rPr>
                    <w:t>锅炉烟气经</w:t>
                  </w:r>
                  <w:r>
                    <w:rPr>
                      <w:rFonts w:hint="default" w:ascii="Times New Roman" w:hAnsi="Times New Roman" w:eastAsia="宋体" w:cs="Times New Roman"/>
                      <w:color w:val="auto"/>
                      <w:sz w:val="18"/>
                      <w:szCs w:val="18"/>
                      <w:highlight w:val="none"/>
                      <w:lang w:eastAsia="zh-CN"/>
                    </w:rPr>
                    <w:t>旋风+</w:t>
                  </w:r>
                  <w:r>
                    <w:rPr>
                      <w:rFonts w:hint="default" w:ascii="Times New Roman" w:hAnsi="Times New Roman" w:eastAsia="宋体" w:cs="Times New Roman"/>
                      <w:color w:val="auto"/>
                      <w:sz w:val="18"/>
                      <w:szCs w:val="18"/>
                      <w:highlight w:val="none"/>
                      <w:lang w:eastAsia="zh-CN"/>
                    </w:rPr>
                    <w:t>布袋除尘器</w:t>
                  </w:r>
                  <w:r>
                    <w:rPr>
                      <w:rFonts w:hint="default" w:ascii="Times New Roman" w:hAnsi="Times New Roman" w:eastAsia="宋体" w:cs="Times New Roman"/>
                      <w:color w:val="auto"/>
                      <w:sz w:val="18"/>
                      <w:szCs w:val="18"/>
                      <w:highlight w:val="none"/>
                      <w:lang w:val="en-US" w:eastAsia="zh-CN"/>
                    </w:rPr>
                    <w:t>（除尘效率</w:t>
                  </w:r>
                  <w:r>
                    <w:rPr>
                      <w:rFonts w:hint="default" w:ascii="Times New Roman" w:hAnsi="Times New Roman" w:cs="Times New Roman"/>
                      <w:color w:val="auto"/>
                      <w:sz w:val="18"/>
                      <w:szCs w:val="18"/>
                      <w:highlight w:val="none"/>
                      <w:lang w:val="en-US" w:eastAsia="zh-CN"/>
                    </w:rPr>
                    <w:t>99.7</w:t>
                  </w:r>
                  <w:r>
                    <w:rPr>
                      <w:rFonts w:hint="default" w:ascii="Times New Roman" w:hAnsi="Times New Roman" w:eastAsia="宋体" w:cs="Times New Roman"/>
                      <w:color w:val="auto"/>
                      <w:sz w:val="18"/>
                      <w:szCs w:val="18"/>
                      <w:highlight w:val="none"/>
                      <w:lang w:val="en-US" w:eastAsia="zh-CN"/>
                    </w:rPr>
                    <w:t>%）处理</w:t>
                  </w:r>
                  <w:r>
                    <w:rPr>
                      <w:rFonts w:hint="default" w:ascii="Times New Roman" w:hAnsi="Times New Roman" w:eastAsia="宋体" w:cs="Times New Roman"/>
                      <w:color w:val="auto"/>
                      <w:sz w:val="18"/>
                      <w:szCs w:val="18"/>
                      <w:highlight w:val="none"/>
                      <w:lang w:eastAsia="zh-CN"/>
                    </w:rPr>
                    <w:t xml:space="preserve">后经过 </w:t>
                  </w: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lang w:eastAsia="zh-CN"/>
                    </w:rPr>
                    <w:t>0 米烟囱排放，</w:t>
                  </w:r>
                  <w:r>
                    <w:rPr>
                      <w:rFonts w:hint="default" w:ascii="Times New Roman" w:hAnsi="Times New Roman" w:eastAsia="宋体" w:cs="Times New Roman"/>
                      <w:color w:val="auto"/>
                      <w:sz w:val="18"/>
                      <w:szCs w:val="18"/>
                      <w:highlight w:val="none"/>
                      <w:lang w:val="en-US" w:eastAsia="zh-CN"/>
                    </w:rPr>
                    <w:t>燃料密闭储存于生物质储存间内</w:t>
                  </w:r>
                  <w:r>
                    <w:rPr>
                      <w:rFonts w:hint="default" w:ascii="Times New Roman" w:hAnsi="Times New Roman" w:eastAsia="宋体" w:cs="Times New Roman"/>
                      <w:color w:val="auto"/>
                      <w:sz w:val="18"/>
                      <w:szCs w:val="18"/>
                      <w:highlight w:val="none"/>
                      <w:lang w:eastAsia="zh-CN"/>
                    </w:rPr>
                    <w:t>。蒸煮玉米过程中产生的异味，企业采取加强通风的方式，减少异味的产生</w:t>
                  </w:r>
                </w:p>
              </w:tc>
              <w:tc>
                <w:tcPr>
                  <w:tcW w:w="384" w:type="pct"/>
                  <w:vMerge w:val="continue"/>
                  <w:noWrap w:val="0"/>
                  <w:vAlign w:val="center"/>
                </w:tcPr>
                <w:p w14:paraId="1273318F">
                  <w:pPr>
                    <w:jc w:val="center"/>
                    <w:rPr>
                      <w:rFonts w:hint="default" w:ascii="Times New Roman" w:hAnsi="Times New Roman" w:eastAsia="宋体" w:cs="Times New Roman"/>
                      <w:color w:val="auto"/>
                      <w:sz w:val="18"/>
                      <w:szCs w:val="18"/>
                      <w:highlight w:val="none"/>
                      <w:lang w:eastAsia="zh-CN"/>
                    </w:rPr>
                  </w:pPr>
                </w:p>
              </w:tc>
            </w:tr>
            <w:tr w14:paraId="206BF2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vMerge w:val="continue"/>
                  <w:noWrap w:val="0"/>
                  <w:vAlign w:val="center"/>
                </w:tcPr>
                <w:p w14:paraId="3D519650">
                  <w:pPr>
                    <w:ind w:firstLine="90" w:firstLineChars="50"/>
                    <w:jc w:val="center"/>
                    <w:rPr>
                      <w:rFonts w:hint="default" w:ascii="Times New Roman" w:hAnsi="Times New Roman" w:cs="Times New Roman"/>
                      <w:color w:val="auto"/>
                      <w:sz w:val="18"/>
                      <w:szCs w:val="18"/>
                      <w:highlight w:val="none"/>
                    </w:rPr>
                  </w:pPr>
                </w:p>
              </w:tc>
              <w:tc>
                <w:tcPr>
                  <w:tcW w:w="869" w:type="pct"/>
                  <w:noWrap w:val="0"/>
                  <w:vAlign w:val="center"/>
                </w:tcPr>
                <w:p w14:paraId="1F44FEE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噪声处理</w:t>
                  </w:r>
                </w:p>
              </w:tc>
              <w:tc>
                <w:tcPr>
                  <w:tcW w:w="3448" w:type="pct"/>
                  <w:noWrap w:val="0"/>
                  <w:vAlign w:val="center"/>
                </w:tcPr>
                <w:p w14:paraId="71248AC2">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选用低噪音设备、减震垫和厂房隔音。</w:t>
                  </w:r>
                </w:p>
              </w:tc>
              <w:tc>
                <w:tcPr>
                  <w:tcW w:w="384" w:type="pct"/>
                  <w:vMerge w:val="continue"/>
                  <w:noWrap w:val="0"/>
                  <w:vAlign w:val="center"/>
                </w:tcPr>
                <w:p w14:paraId="4818CDDD">
                  <w:pPr>
                    <w:jc w:val="center"/>
                    <w:rPr>
                      <w:rFonts w:hint="default" w:ascii="Times New Roman" w:hAnsi="Times New Roman" w:eastAsia="宋体" w:cs="Times New Roman"/>
                      <w:color w:val="auto"/>
                      <w:sz w:val="18"/>
                      <w:szCs w:val="18"/>
                      <w:highlight w:val="none"/>
                      <w:lang w:eastAsia="zh-CN"/>
                    </w:rPr>
                  </w:pPr>
                </w:p>
              </w:tc>
            </w:tr>
            <w:tr w14:paraId="6A1A1C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 w:type="pct"/>
                  <w:vMerge w:val="continue"/>
                  <w:noWrap w:val="0"/>
                  <w:vAlign w:val="center"/>
                </w:tcPr>
                <w:p w14:paraId="4A363B32">
                  <w:pPr>
                    <w:ind w:firstLine="90" w:firstLineChars="50"/>
                    <w:jc w:val="center"/>
                    <w:rPr>
                      <w:rFonts w:hint="default" w:ascii="Times New Roman" w:hAnsi="Times New Roman" w:cs="Times New Roman"/>
                      <w:color w:val="auto"/>
                      <w:sz w:val="18"/>
                      <w:szCs w:val="18"/>
                      <w:highlight w:val="none"/>
                    </w:rPr>
                  </w:pPr>
                </w:p>
              </w:tc>
              <w:tc>
                <w:tcPr>
                  <w:tcW w:w="869" w:type="pct"/>
                  <w:noWrap w:val="0"/>
                  <w:vAlign w:val="center"/>
                </w:tcPr>
                <w:p w14:paraId="2E1CA6E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固体废物</w:t>
                  </w:r>
                </w:p>
              </w:tc>
              <w:tc>
                <w:tcPr>
                  <w:tcW w:w="3448" w:type="pct"/>
                  <w:noWrap w:val="0"/>
                  <w:vAlign w:val="center"/>
                </w:tcPr>
                <w:p w14:paraId="6D3C5D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kern w:val="2"/>
                      <w:sz w:val="18"/>
                      <w:szCs w:val="18"/>
                      <w:highlight w:val="none"/>
                      <w:lang w:val="en-US" w:eastAsia="zh-CN" w:bidi="ar-SA"/>
                    </w:rPr>
                    <w:t>（</w:t>
                  </w:r>
                  <w:r>
                    <w:rPr>
                      <w:rFonts w:hint="default" w:ascii="Times New Roman" w:hAnsi="Times New Roman" w:eastAsia="宋体" w:cs="Times New Roman"/>
                      <w:kern w:val="2"/>
                      <w:sz w:val="18"/>
                      <w:szCs w:val="18"/>
                      <w:highlight w:val="none"/>
                      <w:lang w:val="en-US" w:eastAsia="zh-CN" w:bidi="ar-SA"/>
                    </w:rPr>
                    <w:t>1）生活垃圾：由市政环卫部门统一处理。</w:t>
                  </w:r>
                </w:p>
                <w:p w14:paraId="03E61A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2"/>
                      <w:sz w:val="18"/>
                      <w:szCs w:val="18"/>
                      <w:highlight w:val="none"/>
                      <w:lang w:val="en-US" w:eastAsia="zh-CN" w:bidi="ar-SA"/>
                    </w:rPr>
                    <w:t>（2）废离子交换树脂：交由原厂回收。</w:t>
                  </w:r>
                </w:p>
                <w:p w14:paraId="26083B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2"/>
                      <w:sz w:val="18"/>
                      <w:szCs w:val="18"/>
                      <w:highlight w:val="none"/>
                      <w:lang w:val="en-US" w:eastAsia="zh-CN" w:bidi="ar-SA"/>
                    </w:rPr>
                    <w:t>（3）玉米皮、玉米须、玉米芯及切端废物：外售综合利用</w:t>
                  </w:r>
                </w:p>
                <w:p w14:paraId="0D7A3B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2"/>
                      <w:sz w:val="18"/>
                      <w:szCs w:val="18"/>
                      <w:highlight w:val="none"/>
                      <w:lang w:val="en-US" w:eastAsia="zh-CN" w:bidi="ar-SA"/>
                    </w:rPr>
                    <w:t>（4）锅炉灰渣：外售综合利用。</w:t>
                  </w:r>
                </w:p>
                <w:p w14:paraId="4F1452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2"/>
                      <w:sz w:val="18"/>
                      <w:szCs w:val="18"/>
                      <w:highlight w:val="none"/>
                      <w:lang w:val="en-US" w:eastAsia="zh-CN" w:bidi="ar-SA"/>
                    </w:rPr>
                    <w:t>（5）锅炉</w:t>
                  </w:r>
                  <w:r>
                    <w:rPr>
                      <w:rFonts w:hint="default" w:ascii="Times New Roman" w:hAnsi="Times New Roman" w:eastAsia="宋体" w:cs="Times New Roman"/>
                      <w:kern w:val="2"/>
                      <w:sz w:val="18"/>
                      <w:szCs w:val="18"/>
                      <w:highlight w:val="none"/>
                      <w:lang w:val="en-US" w:eastAsia="zh-CN" w:bidi="ar-SA"/>
                    </w:rPr>
                    <w:t>旋风+</w:t>
                  </w:r>
                  <w:r>
                    <w:rPr>
                      <w:rFonts w:hint="default" w:ascii="Times New Roman" w:hAnsi="Times New Roman" w:eastAsia="宋体" w:cs="Times New Roman"/>
                      <w:kern w:val="2"/>
                      <w:sz w:val="18"/>
                      <w:szCs w:val="18"/>
                      <w:highlight w:val="none"/>
                      <w:lang w:val="en-US" w:eastAsia="zh-CN" w:bidi="ar-SA"/>
                    </w:rPr>
                    <w:t>布袋除尘器</w:t>
                  </w:r>
                  <w:r>
                    <w:rPr>
                      <w:rFonts w:hint="default" w:ascii="Times New Roman" w:hAnsi="Times New Roman" w:eastAsia="宋体" w:cs="Times New Roman"/>
                      <w:kern w:val="2"/>
                      <w:sz w:val="18"/>
                      <w:szCs w:val="18"/>
                      <w:highlight w:val="none"/>
                      <w:lang w:val="en-US" w:eastAsia="zh-CN" w:bidi="ar-SA"/>
                    </w:rPr>
                    <w:t>除尘灰：外售综合利用。</w:t>
                  </w:r>
                </w:p>
                <w:p w14:paraId="3BF449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kern w:val="2"/>
                      <w:sz w:val="18"/>
                      <w:szCs w:val="18"/>
                      <w:highlight w:val="none"/>
                      <w:lang w:val="en-US" w:eastAsia="zh-CN" w:bidi="ar-SA"/>
                    </w:rPr>
                    <w:t>（6）废包装材料：交由原厂回收。</w:t>
                  </w:r>
                </w:p>
                <w:p w14:paraId="3A9730C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kern w:val="2"/>
                      <w:sz w:val="18"/>
                      <w:szCs w:val="18"/>
                      <w:highlight w:val="none"/>
                      <w:lang w:val="en-US" w:eastAsia="zh-CN" w:bidi="ar-SA"/>
                    </w:rPr>
                    <w:t>（7）废布袋：交由原厂回收。</w:t>
                  </w:r>
                </w:p>
              </w:tc>
              <w:tc>
                <w:tcPr>
                  <w:tcW w:w="384" w:type="pct"/>
                  <w:vMerge w:val="continue"/>
                  <w:noWrap w:val="0"/>
                  <w:vAlign w:val="center"/>
                </w:tcPr>
                <w:p w14:paraId="3226A94F">
                  <w:pPr>
                    <w:jc w:val="center"/>
                    <w:rPr>
                      <w:rFonts w:hint="default" w:ascii="Times New Roman" w:hAnsi="Times New Roman" w:eastAsia="宋体" w:cs="Times New Roman"/>
                      <w:color w:val="auto"/>
                      <w:sz w:val="18"/>
                      <w:szCs w:val="18"/>
                      <w:highlight w:val="none"/>
                      <w:lang w:eastAsia="zh-CN"/>
                    </w:rPr>
                  </w:pPr>
                </w:p>
              </w:tc>
            </w:tr>
            <w:tr w14:paraId="299896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7" w:type="pct"/>
                  <w:vMerge w:val="continue"/>
                  <w:noWrap w:val="0"/>
                  <w:vAlign w:val="center"/>
                </w:tcPr>
                <w:p w14:paraId="4A3F6AD9">
                  <w:pPr>
                    <w:ind w:firstLine="90" w:firstLineChars="50"/>
                    <w:jc w:val="center"/>
                    <w:rPr>
                      <w:rFonts w:hint="default" w:ascii="Times New Roman" w:hAnsi="Times New Roman" w:cs="Times New Roman"/>
                      <w:color w:val="auto"/>
                      <w:sz w:val="18"/>
                      <w:szCs w:val="18"/>
                      <w:highlight w:val="none"/>
                    </w:rPr>
                  </w:pPr>
                </w:p>
              </w:tc>
              <w:tc>
                <w:tcPr>
                  <w:tcW w:w="869" w:type="pct"/>
                  <w:noWrap w:val="0"/>
                  <w:vAlign w:val="center"/>
                </w:tcPr>
                <w:p w14:paraId="42497F5B">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其他</w:t>
                  </w:r>
                </w:p>
              </w:tc>
              <w:tc>
                <w:tcPr>
                  <w:tcW w:w="3448" w:type="pct"/>
                  <w:noWrap w:val="0"/>
                  <w:vAlign w:val="center"/>
                </w:tcPr>
                <w:p w14:paraId="485B7FDD">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本项目冷库、厂区建设防渗水泥硬化地面，防止污染地下水环境。</w:t>
                  </w:r>
                </w:p>
              </w:tc>
              <w:tc>
                <w:tcPr>
                  <w:tcW w:w="384" w:type="pct"/>
                  <w:vMerge w:val="continue"/>
                  <w:noWrap w:val="0"/>
                  <w:vAlign w:val="center"/>
                </w:tcPr>
                <w:p w14:paraId="32132A2B">
                  <w:pPr>
                    <w:jc w:val="center"/>
                    <w:rPr>
                      <w:rFonts w:hint="default" w:ascii="Times New Roman" w:hAnsi="Times New Roman" w:eastAsia="宋体" w:cs="Times New Roman"/>
                      <w:color w:val="auto"/>
                      <w:sz w:val="18"/>
                      <w:szCs w:val="18"/>
                      <w:highlight w:val="none"/>
                      <w:lang w:eastAsia="zh-CN"/>
                    </w:rPr>
                  </w:pPr>
                </w:p>
              </w:tc>
            </w:tr>
            <w:tr w14:paraId="5F5B82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 w:type="pct"/>
                  <w:noWrap w:val="0"/>
                  <w:vAlign w:val="center"/>
                </w:tcPr>
                <w:p w14:paraId="5C1E6941">
                  <w:pPr>
                    <w:spacing w:line="240" w:lineRule="atLeas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sz w:val="18"/>
                      <w:szCs w:val="18"/>
                      <w:highlight w:val="none"/>
                      <w:lang w:eastAsia="zh-CN"/>
                    </w:rPr>
                    <w:t>依托工程</w:t>
                  </w:r>
                </w:p>
              </w:tc>
              <w:tc>
                <w:tcPr>
                  <w:tcW w:w="869" w:type="pct"/>
                  <w:noWrap w:val="0"/>
                  <w:vAlign w:val="center"/>
                </w:tcPr>
                <w:p w14:paraId="4D5924FD">
                  <w:pPr>
                    <w:spacing w:line="240" w:lineRule="atLeast"/>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sz w:val="18"/>
                      <w:szCs w:val="18"/>
                      <w:highlight w:val="none"/>
                      <w:lang w:eastAsia="zh-CN"/>
                    </w:rPr>
                    <w:t>连丰乡污水处理厂</w:t>
                  </w:r>
                </w:p>
              </w:tc>
              <w:tc>
                <w:tcPr>
                  <w:tcW w:w="3448" w:type="pct"/>
                  <w:noWrap w:val="0"/>
                  <w:vAlign w:val="center"/>
                </w:tcPr>
                <w:p w14:paraId="44A9D9DC">
                  <w:pPr>
                    <w:spacing w:line="240" w:lineRule="atLeast"/>
                    <w:jc w:val="left"/>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sz w:val="18"/>
                      <w:szCs w:val="18"/>
                      <w:highlight w:val="none"/>
                      <w:lang w:eastAsia="zh-CN"/>
                    </w:rPr>
                    <w:t>连丰乡污水处理厂建筑面积</w:t>
                  </w:r>
                  <w:r>
                    <w:rPr>
                      <w:rFonts w:hint="default" w:ascii="Times New Roman" w:hAnsi="Times New Roman" w:cs="Times New Roman"/>
                      <w:sz w:val="18"/>
                      <w:szCs w:val="18"/>
                      <w:highlight w:val="none"/>
                      <w:lang w:val="en-US" w:eastAsia="zh-CN"/>
                    </w:rPr>
                    <w:t>222.01平方米，日处理量50吨，</w:t>
                  </w:r>
                  <w:r>
                    <w:rPr>
                      <w:rFonts w:hint="eastAsia" w:cs="Times New Roman"/>
                      <w:sz w:val="18"/>
                      <w:szCs w:val="18"/>
                      <w:highlight w:val="none"/>
                      <w:lang w:val="en-US" w:eastAsia="zh-CN"/>
                    </w:rPr>
                    <w:t>现有处理余量为45吨</w:t>
                  </w:r>
                  <w:r>
                    <w:rPr>
                      <w:rFonts w:hint="eastAsia" w:cs="Times New Roman"/>
                      <w:sz w:val="18"/>
                      <w:szCs w:val="18"/>
                      <w:highlight w:val="none"/>
                      <w:lang w:val="en-US" w:eastAsia="zh-CN"/>
                    </w:rPr>
                    <w:t>，</w:t>
                  </w:r>
                  <w:r>
                    <w:rPr>
                      <w:rFonts w:hint="default" w:ascii="Times New Roman" w:hAnsi="Times New Roman" w:cs="Times New Roman"/>
                      <w:sz w:val="18"/>
                      <w:szCs w:val="18"/>
                      <w:highlight w:val="none"/>
                      <w:lang w:val="en-US" w:eastAsia="zh-CN"/>
                    </w:rPr>
                    <w:t>配套管网7.65公里，</w:t>
                  </w:r>
                  <w:r>
                    <w:rPr>
                      <w:rFonts w:hint="default" w:ascii="Times New Roman" w:hAnsi="Times New Roman" w:cs="Times New Roman"/>
                      <w:sz w:val="18"/>
                      <w:szCs w:val="18"/>
                      <w:highlight w:val="none"/>
                      <w:lang w:eastAsia="zh-CN"/>
                    </w:rPr>
                    <w:t>本项目污水日排放量为</w:t>
                  </w:r>
                  <w:r>
                    <w:rPr>
                      <w:rFonts w:hint="default" w:ascii="Times New Roman" w:hAnsi="Times New Roman" w:cs="Times New Roman"/>
                      <w:sz w:val="18"/>
                      <w:szCs w:val="18"/>
                      <w:highlight w:val="none"/>
                      <w:lang w:val="en-US" w:eastAsia="zh-CN"/>
                    </w:rPr>
                    <w:t>5.47m</w:t>
                  </w:r>
                  <w:r>
                    <w:rPr>
                      <w:rFonts w:hint="default" w:ascii="Times New Roman" w:hAnsi="Times New Roman" w:cs="Times New Roman"/>
                      <w:sz w:val="18"/>
                      <w:szCs w:val="18"/>
                      <w:highlight w:val="none"/>
                      <w:vertAlign w:val="superscript"/>
                      <w:lang w:val="en-US" w:eastAsia="zh-CN"/>
                    </w:rPr>
                    <w:t>3</w:t>
                  </w:r>
                  <w:r>
                    <w:rPr>
                      <w:rFonts w:hint="default" w:ascii="Times New Roman" w:hAnsi="Times New Roman" w:cs="Times New Roman"/>
                      <w:sz w:val="18"/>
                      <w:szCs w:val="18"/>
                      <w:highlight w:val="none"/>
                      <w:lang w:eastAsia="zh-CN"/>
                    </w:rPr>
                    <w:t>，小于污水处理厂日处理规模，因此本项目污水进入连丰乡污水处理厂可行。</w:t>
                  </w:r>
                </w:p>
              </w:tc>
              <w:tc>
                <w:tcPr>
                  <w:tcW w:w="384" w:type="pct"/>
                  <w:noWrap w:val="0"/>
                  <w:vAlign w:val="center"/>
                </w:tcPr>
                <w:p w14:paraId="619BDA38">
                  <w:pPr>
                    <w:jc w:val="center"/>
                    <w:rPr>
                      <w:rFonts w:hint="default" w:ascii="Times New Roman" w:hAnsi="Times New Roman"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依托工程</w:t>
                  </w:r>
                </w:p>
              </w:tc>
            </w:tr>
          </w:tbl>
          <w:p w14:paraId="0DC7096B">
            <w:pPr>
              <w:adjustRightInd w:val="0"/>
              <w:snapToGrid w:val="0"/>
              <w:spacing w:line="360" w:lineRule="auto"/>
              <w:ind w:firstLine="422" w:firstLineChars="200"/>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2、</w:t>
            </w:r>
            <w:r>
              <w:rPr>
                <w:rFonts w:hint="default" w:ascii="Times New Roman" w:hAnsi="Times New Roman" w:cs="Times New Roman"/>
                <w:b/>
                <w:color w:val="auto"/>
                <w:szCs w:val="21"/>
                <w:highlight w:val="none"/>
                <w:lang w:eastAsia="zh-CN"/>
              </w:rPr>
              <w:t>主要设备</w:t>
            </w:r>
          </w:p>
          <w:p w14:paraId="44CD553E">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本项目</w:t>
            </w:r>
            <w:r>
              <w:rPr>
                <w:rFonts w:hint="default" w:ascii="Times New Roman" w:hAnsi="Times New Roman" w:cs="Times New Roman"/>
                <w:bCs/>
                <w:color w:val="auto"/>
                <w:szCs w:val="21"/>
                <w:highlight w:val="none"/>
                <w:lang w:val="en-US" w:eastAsia="zh-CN"/>
              </w:rPr>
              <w:t>3t/h生物质蒸汽锅炉及其附属设施</w:t>
            </w:r>
            <w:r>
              <w:rPr>
                <w:rFonts w:hint="eastAsia" w:cs="Times New Roman"/>
                <w:bCs/>
                <w:color w:val="auto"/>
                <w:szCs w:val="21"/>
                <w:highlight w:val="none"/>
                <w:lang w:val="en-US" w:eastAsia="zh-CN"/>
              </w:rPr>
              <w:t>为新建，玉米饼生产线使用的设备为新建，其它</w:t>
            </w:r>
            <w:r>
              <w:rPr>
                <w:rFonts w:hint="default" w:ascii="Times New Roman" w:hAnsi="Times New Roman" w:cs="Times New Roman"/>
                <w:bCs/>
                <w:color w:val="auto"/>
                <w:szCs w:val="21"/>
                <w:highlight w:val="none"/>
                <w:lang w:eastAsia="zh-CN"/>
              </w:rPr>
              <w:t>设备</w:t>
            </w:r>
            <w:r>
              <w:rPr>
                <w:rFonts w:hint="eastAsia" w:cs="Times New Roman"/>
                <w:bCs/>
                <w:color w:val="auto"/>
                <w:szCs w:val="21"/>
                <w:highlight w:val="none"/>
                <w:lang w:eastAsia="zh-CN"/>
              </w:rPr>
              <w:t>均</w:t>
            </w:r>
            <w:r>
              <w:rPr>
                <w:rFonts w:hint="default" w:ascii="Times New Roman" w:hAnsi="Times New Roman" w:cs="Times New Roman"/>
                <w:bCs/>
                <w:color w:val="auto"/>
                <w:szCs w:val="21"/>
                <w:highlight w:val="none"/>
                <w:lang w:eastAsia="zh-CN"/>
              </w:rPr>
              <w:t>为租赁，</w:t>
            </w:r>
            <w:r>
              <w:rPr>
                <w:rFonts w:hint="default" w:ascii="Times New Roman" w:hAnsi="Times New Roman" w:cs="Times New Roman"/>
                <w:bCs/>
                <w:color w:val="auto"/>
                <w:szCs w:val="21"/>
                <w:highlight w:val="none"/>
              </w:rPr>
              <w:t>主要设</w:t>
            </w:r>
            <w:r>
              <w:rPr>
                <w:rFonts w:hint="default" w:ascii="Times New Roman" w:hAnsi="Times New Roman" w:cs="Times New Roman"/>
                <w:bCs/>
                <w:color w:val="auto"/>
                <w:szCs w:val="21"/>
                <w:highlight w:val="none"/>
                <w:lang w:eastAsia="zh-CN"/>
              </w:rPr>
              <w:t>备</w:t>
            </w:r>
            <w:r>
              <w:rPr>
                <w:rFonts w:hint="default" w:ascii="Times New Roman" w:hAnsi="Times New Roman" w:cs="Times New Roman"/>
                <w:bCs/>
                <w:color w:val="auto"/>
                <w:szCs w:val="21"/>
                <w:highlight w:val="none"/>
              </w:rPr>
              <w:t>详见表2-</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w:t>
            </w:r>
          </w:p>
          <w:p w14:paraId="03174708">
            <w:pPr>
              <w:adjustRightInd w:val="0"/>
              <w:snapToGrid w:val="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主要生产</w:t>
            </w:r>
            <w:r>
              <w:rPr>
                <w:rFonts w:hint="default" w:ascii="Times New Roman" w:hAnsi="Times New Roman" w:cs="Times New Roman"/>
                <w:b/>
                <w:color w:val="auto"/>
                <w:szCs w:val="21"/>
                <w:highlight w:val="none"/>
                <w:lang w:eastAsia="zh-CN"/>
              </w:rPr>
              <w:t>设备</w:t>
            </w:r>
          </w:p>
          <w:tbl>
            <w:tblPr>
              <w:tblStyle w:val="13"/>
              <w:tblW w:w="477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72"/>
              <w:gridCol w:w="2857"/>
              <w:gridCol w:w="1302"/>
              <w:gridCol w:w="1302"/>
            </w:tblGrid>
            <w:tr w14:paraId="4D5AC7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center"/>
                </w:tcPr>
                <w:p w14:paraId="356E7595">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生产设施</w:t>
                  </w:r>
                </w:p>
              </w:tc>
              <w:tc>
                <w:tcPr>
                  <w:tcW w:w="1777" w:type="pct"/>
                  <w:noWrap/>
                  <w:vAlign w:val="center"/>
                </w:tcPr>
                <w:p w14:paraId="5A78775F">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设施参数</w:t>
                  </w:r>
                </w:p>
              </w:tc>
              <w:tc>
                <w:tcPr>
                  <w:tcW w:w="810" w:type="pct"/>
                  <w:noWrap/>
                  <w:vAlign w:val="center"/>
                </w:tcPr>
                <w:p w14:paraId="063B2F2F">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数量</w:t>
                  </w:r>
                </w:p>
              </w:tc>
              <w:tc>
                <w:tcPr>
                  <w:tcW w:w="810" w:type="pct"/>
                  <w:noWrap/>
                  <w:vAlign w:val="center"/>
                </w:tcPr>
                <w:p w14:paraId="43800498">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单位</w:t>
                  </w:r>
                </w:p>
              </w:tc>
            </w:tr>
            <w:tr w14:paraId="36A24D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center"/>
                </w:tcPr>
                <w:p w14:paraId="6F287B4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燃</w:t>
                  </w:r>
                  <w:r>
                    <w:rPr>
                      <w:rFonts w:hint="default" w:ascii="Times New Roman" w:hAnsi="Times New Roman" w:cs="Times New Roman"/>
                      <w:color w:val="auto"/>
                      <w:sz w:val="18"/>
                      <w:szCs w:val="18"/>
                      <w:highlight w:val="none"/>
                    </w:rPr>
                    <w:t>生物质锅炉</w:t>
                  </w:r>
                </w:p>
              </w:tc>
              <w:tc>
                <w:tcPr>
                  <w:tcW w:w="1777" w:type="pct"/>
                  <w:noWrap/>
                  <w:vAlign w:val="center"/>
                </w:tcPr>
                <w:p w14:paraId="5D495A3A">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3t/h</w:t>
                  </w:r>
                </w:p>
              </w:tc>
              <w:tc>
                <w:tcPr>
                  <w:tcW w:w="810" w:type="pct"/>
                  <w:noWrap/>
                  <w:vAlign w:val="center"/>
                </w:tcPr>
                <w:p w14:paraId="31697A9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810" w:type="pct"/>
                  <w:noWrap/>
                  <w:vAlign w:val="center"/>
                </w:tcPr>
                <w:p w14:paraId="5D0FD9D2">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台</w:t>
                  </w:r>
                </w:p>
              </w:tc>
            </w:tr>
            <w:tr w14:paraId="786713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center"/>
                </w:tcPr>
                <w:p w14:paraId="1FFAF292">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旋风+</w:t>
                  </w:r>
                  <w:r>
                    <w:rPr>
                      <w:rFonts w:hint="default" w:ascii="Times New Roman" w:hAnsi="Times New Roman" w:cs="Times New Roman"/>
                      <w:color w:val="auto"/>
                      <w:sz w:val="18"/>
                      <w:szCs w:val="18"/>
                      <w:highlight w:val="none"/>
                      <w:lang w:val="en-US" w:eastAsia="zh-CN"/>
                    </w:rPr>
                    <w:t>布袋除尘器</w:t>
                  </w:r>
                </w:p>
              </w:tc>
              <w:tc>
                <w:tcPr>
                  <w:tcW w:w="1777" w:type="pct"/>
                  <w:noWrap/>
                  <w:vAlign w:val="center"/>
                </w:tcPr>
                <w:p w14:paraId="0CA62E60">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6A00F7E5">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6C09A425">
                  <w:pPr>
                    <w:widowControl/>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147816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79" w:type="pct"/>
                  <w:gridSpan w:val="2"/>
                  <w:noWrap/>
                  <w:vAlign w:val="center"/>
                </w:tcPr>
                <w:p w14:paraId="28FE7D4D">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制冷设备</w:t>
                  </w:r>
                </w:p>
              </w:tc>
              <w:tc>
                <w:tcPr>
                  <w:tcW w:w="810" w:type="pct"/>
                  <w:noWrap/>
                  <w:vAlign w:val="center"/>
                </w:tcPr>
                <w:p w14:paraId="3AA50C9C">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116</w:t>
                  </w:r>
                </w:p>
              </w:tc>
              <w:tc>
                <w:tcPr>
                  <w:tcW w:w="810" w:type="pct"/>
                  <w:noWrap/>
                  <w:vAlign w:val="center"/>
                </w:tcPr>
                <w:p w14:paraId="052E6699">
                  <w:pPr>
                    <w:widowControl/>
                    <w:jc w:val="center"/>
                    <w:rPr>
                      <w:rFonts w:hint="default" w:ascii="Times New Roman" w:hAnsi="Times New Roman" w:cs="Times New Roman"/>
                      <w:color w:val="auto"/>
                      <w:kern w:val="0"/>
                      <w:sz w:val="18"/>
                      <w:szCs w:val="18"/>
                      <w:highlight w:val="none"/>
                      <w:lang w:eastAsia="zh-CN"/>
                    </w:rPr>
                  </w:pPr>
                </w:p>
              </w:tc>
            </w:tr>
            <w:tr w14:paraId="445106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pct"/>
                  <w:noWrap/>
                  <w:vAlign w:val="top"/>
                </w:tcPr>
                <w:p w14:paraId="6645A975">
                  <w:pPr>
                    <w:pStyle w:val="21"/>
                    <w:spacing w:before="32" w:line="205"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z w:val="18"/>
                      <w:szCs w:val="18"/>
                      <w:highlight w:val="none"/>
                    </w:rPr>
                    <w:t>中温蝶杆并联机组压缩机</w:t>
                  </w:r>
                </w:p>
              </w:tc>
              <w:tc>
                <w:tcPr>
                  <w:tcW w:w="1777" w:type="pct"/>
                  <w:noWrap/>
                  <w:vAlign w:val="center"/>
                </w:tcPr>
                <w:p w14:paraId="7341265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4FE53822">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810" w:type="pct"/>
                  <w:noWrap/>
                  <w:vAlign w:val="center"/>
                </w:tcPr>
                <w:p w14:paraId="2511A202">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eastAsia="zh-CN"/>
                    </w:rPr>
                    <w:t>台</w:t>
                  </w:r>
                </w:p>
              </w:tc>
            </w:tr>
            <w:tr w14:paraId="21CC0C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3FE2DC0D">
                  <w:pPr>
                    <w:pStyle w:val="21"/>
                    <w:spacing w:before="33" w:line="204"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蒸发式冷凝器</w:t>
                  </w:r>
                </w:p>
              </w:tc>
              <w:tc>
                <w:tcPr>
                  <w:tcW w:w="1777" w:type="pct"/>
                  <w:noWrap/>
                  <w:vAlign w:val="center"/>
                </w:tcPr>
                <w:p w14:paraId="4DCC4841">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0C70EF5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0160A15A">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6E8138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2990420C">
                  <w:pPr>
                    <w:pStyle w:val="21"/>
                    <w:spacing w:before="32" w:line="205"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冷风机组</w:t>
                  </w:r>
                </w:p>
              </w:tc>
              <w:tc>
                <w:tcPr>
                  <w:tcW w:w="1777" w:type="pct"/>
                  <w:noWrap/>
                  <w:vAlign w:val="center"/>
                </w:tcPr>
                <w:p w14:paraId="2EE5053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5958032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w:t>
                  </w:r>
                </w:p>
              </w:tc>
              <w:tc>
                <w:tcPr>
                  <w:tcW w:w="810" w:type="pct"/>
                  <w:noWrap/>
                  <w:vAlign w:val="center"/>
                </w:tcPr>
                <w:p w14:paraId="6A26C049">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34AB7A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07ECAF7C">
                  <w:pPr>
                    <w:pStyle w:val="21"/>
                    <w:spacing w:before="31" w:line="206"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1"/>
                      <w:sz w:val="18"/>
                      <w:szCs w:val="18"/>
                      <w:highlight w:val="none"/>
                    </w:rPr>
                    <w:t>低温蝶杆并联机组压缩机</w:t>
                  </w:r>
                </w:p>
              </w:tc>
              <w:tc>
                <w:tcPr>
                  <w:tcW w:w="1777" w:type="pct"/>
                  <w:noWrap/>
                  <w:vAlign w:val="center"/>
                </w:tcPr>
                <w:p w14:paraId="5581B20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6BB03C98">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810" w:type="pct"/>
                  <w:noWrap/>
                  <w:vAlign w:val="center"/>
                </w:tcPr>
                <w:p w14:paraId="429D0C05">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009F47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A46C330">
                  <w:pPr>
                    <w:pStyle w:val="21"/>
                    <w:spacing w:before="33" w:line="204"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蒸发式冷凝器</w:t>
                  </w:r>
                </w:p>
              </w:tc>
              <w:tc>
                <w:tcPr>
                  <w:tcW w:w="1777" w:type="pct"/>
                  <w:noWrap/>
                  <w:vAlign w:val="center"/>
                </w:tcPr>
                <w:p w14:paraId="512D7C83">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4FBA2E79">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6A7E75DC">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0872F7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6C0F3FC">
                  <w:pPr>
                    <w:pStyle w:val="21"/>
                    <w:spacing w:before="42" w:line="204"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桶泵机组</w:t>
                  </w:r>
                </w:p>
              </w:tc>
              <w:tc>
                <w:tcPr>
                  <w:tcW w:w="1777" w:type="pct"/>
                  <w:noWrap/>
                  <w:vAlign w:val="center"/>
                </w:tcPr>
                <w:p w14:paraId="71E0FF8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41181404">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54562E99">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1CAC66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7E37EAD4">
                  <w:pPr>
                    <w:pStyle w:val="21"/>
                    <w:spacing w:before="34" w:line="203"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储液器</w:t>
                  </w:r>
                </w:p>
              </w:tc>
              <w:tc>
                <w:tcPr>
                  <w:tcW w:w="1777" w:type="pct"/>
                  <w:noWrap/>
                  <w:vAlign w:val="center"/>
                </w:tcPr>
                <w:p w14:paraId="5994A2ED">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7FC44D94">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0ABCFDC0">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608D25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795789EC">
                  <w:pPr>
                    <w:pStyle w:val="21"/>
                    <w:spacing w:before="33" w:line="192"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虹吸罐</w:t>
                  </w:r>
                </w:p>
              </w:tc>
              <w:tc>
                <w:tcPr>
                  <w:tcW w:w="1777" w:type="pct"/>
                  <w:noWrap/>
                  <w:vAlign w:val="center"/>
                </w:tcPr>
                <w:p w14:paraId="5ACF8F8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4709B9EF">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3AE28FC1">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25FD15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01" w:type="pct"/>
                  <w:noWrap/>
                  <w:vAlign w:val="top"/>
                </w:tcPr>
                <w:p w14:paraId="5449C7D6">
                  <w:pPr>
                    <w:pStyle w:val="21"/>
                    <w:spacing w:before="43" w:line="204"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1"/>
                      <w:sz w:val="18"/>
                      <w:szCs w:val="18"/>
                      <w:highlight w:val="none"/>
                    </w:rPr>
                    <w:t>低温蝶杆并联机组压缩机</w:t>
                  </w:r>
                </w:p>
              </w:tc>
              <w:tc>
                <w:tcPr>
                  <w:tcW w:w="1777" w:type="pct"/>
                  <w:noWrap/>
                  <w:vAlign w:val="center"/>
                </w:tcPr>
                <w:p w14:paraId="5098629A">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00CC42A1">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w:t>
                  </w:r>
                </w:p>
              </w:tc>
              <w:tc>
                <w:tcPr>
                  <w:tcW w:w="810" w:type="pct"/>
                  <w:noWrap/>
                  <w:vAlign w:val="center"/>
                </w:tcPr>
                <w:p w14:paraId="16A16895">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512F5F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7DB4AF01">
                  <w:pPr>
                    <w:pStyle w:val="21"/>
                    <w:spacing w:before="34" w:line="203"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蒸发式冷凝器</w:t>
                  </w:r>
                </w:p>
              </w:tc>
              <w:tc>
                <w:tcPr>
                  <w:tcW w:w="1777" w:type="pct"/>
                  <w:noWrap/>
                  <w:vAlign w:val="center"/>
                </w:tcPr>
                <w:p w14:paraId="6F700D6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07633728">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810" w:type="pct"/>
                  <w:noWrap/>
                  <w:vAlign w:val="center"/>
                </w:tcPr>
                <w:p w14:paraId="7390763A">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499133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3410723D">
                  <w:pPr>
                    <w:pStyle w:val="21"/>
                    <w:spacing w:before="43" w:line="203"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冷风机组</w:t>
                  </w:r>
                </w:p>
              </w:tc>
              <w:tc>
                <w:tcPr>
                  <w:tcW w:w="1777" w:type="pct"/>
                  <w:noWrap/>
                  <w:vAlign w:val="center"/>
                </w:tcPr>
                <w:p w14:paraId="7E3F6165">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71950A8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w:t>
                  </w:r>
                </w:p>
              </w:tc>
              <w:tc>
                <w:tcPr>
                  <w:tcW w:w="810" w:type="pct"/>
                  <w:noWrap/>
                  <w:vAlign w:val="center"/>
                </w:tcPr>
                <w:p w14:paraId="6247F978">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2F17BF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BA188C0">
                  <w:pPr>
                    <w:pStyle w:val="21"/>
                    <w:spacing w:before="34" w:line="203"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z w:val="18"/>
                      <w:szCs w:val="18"/>
                      <w:highlight w:val="none"/>
                    </w:rPr>
                    <w:t>中温蝶杆并联机组压缩机</w:t>
                  </w:r>
                </w:p>
              </w:tc>
              <w:tc>
                <w:tcPr>
                  <w:tcW w:w="1777" w:type="pct"/>
                  <w:noWrap/>
                  <w:vAlign w:val="center"/>
                </w:tcPr>
                <w:p w14:paraId="6E0A9AE4">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31413801">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810" w:type="pct"/>
                  <w:noWrap/>
                  <w:vAlign w:val="center"/>
                </w:tcPr>
                <w:p w14:paraId="5E079B59">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5DEA0D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B699416">
                  <w:pPr>
                    <w:pStyle w:val="21"/>
                    <w:spacing w:before="45" w:line="212"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蒸发式冷凝器</w:t>
                  </w:r>
                </w:p>
              </w:tc>
              <w:tc>
                <w:tcPr>
                  <w:tcW w:w="1777" w:type="pct"/>
                  <w:noWrap/>
                  <w:vAlign w:val="center"/>
                </w:tcPr>
                <w:p w14:paraId="7E2A7445">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2C1BF872">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7E1CE23E">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1D2511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20819637">
                  <w:pPr>
                    <w:pStyle w:val="21"/>
                    <w:spacing w:before="34" w:line="202"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冷风机组</w:t>
                  </w:r>
                </w:p>
              </w:tc>
              <w:tc>
                <w:tcPr>
                  <w:tcW w:w="1777" w:type="pct"/>
                  <w:noWrap/>
                  <w:vAlign w:val="center"/>
                </w:tcPr>
                <w:p w14:paraId="3A0D0FCB">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337A669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30</w:t>
                  </w:r>
                </w:p>
              </w:tc>
              <w:tc>
                <w:tcPr>
                  <w:tcW w:w="810" w:type="pct"/>
                  <w:noWrap/>
                  <w:vAlign w:val="center"/>
                </w:tcPr>
                <w:p w14:paraId="74434EDE">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0369A3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3A3CBD69">
                  <w:pPr>
                    <w:pStyle w:val="21"/>
                    <w:spacing w:before="45" w:line="201"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2"/>
                      <w:sz w:val="18"/>
                      <w:szCs w:val="18"/>
                      <w:highlight w:val="none"/>
                    </w:rPr>
                    <w:t>叉车</w:t>
                  </w:r>
                </w:p>
              </w:tc>
              <w:tc>
                <w:tcPr>
                  <w:tcW w:w="1777" w:type="pct"/>
                  <w:noWrap/>
                  <w:vAlign w:val="center"/>
                </w:tcPr>
                <w:p w14:paraId="75E321E7">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5B9ED419">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w:t>
                  </w:r>
                </w:p>
              </w:tc>
              <w:tc>
                <w:tcPr>
                  <w:tcW w:w="810" w:type="pct"/>
                  <w:noWrap/>
                  <w:vAlign w:val="center"/>
                </w:tcPr>
                <w:p w14:paraId="36172338">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辆</w:t>
                  </w:r>
                </w:p>
              </w:tc>
            </w:tr>
            <w:tr w14:paraId="7ED07A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7853D874">
                  <w:pPr>
                    <w:pStyle w:val="21"/>
                    <w:spacing w:before="34" w:line="202"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1"/>
                      <w:sz w:val="18"/>
                      <w:szCs w:val="18"/>
                      <w:highlight w:val="none"/>
                    </w:rPr>
                    <w:t>全自动升降机</w:t>
                  </w:r>
                </w:p>
              </w:tc>
              <w:tc>
                <w:tcPr>
                  <w:tcW w:w="1777" w:type="pct"/>
                  <w:noWrap/>
                  <w:vAlign w:val="center"/>
                </w:tcPr>
                <w:p w14:paraId="269E7290">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2A56FE3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w:t>
                  </w:r>
                </w:p>
              </w:tc>
              <w:tc>
                <w:tcPr>
                  <w:tcW w:w="810" w:type="pct"/>
                  <w:noWrap/>
                  <w:vAlign w:val="center"/>
                </w:tcPr>
                <w:p w14:paraId="4EF127D4">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5770CE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FAF2560">
                  <w:pPr>
                    <w:pStyle w:val="21"/>
                    <w:spacing w:before="44" w:line="202" w:lineRule="auto"/>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spacing w:val="-1"/>
                      <w:sz w:val="18"/>
                      <w:szCs w:val="18"/>
                      <w:highlight w:val="none"/>
                    </w:rPr>
                    <w:t>钢瓶制冷剂</w:t>
                  </w:r>
                </w:p>
              </w:tc>
              <w:tc>
                <w:tcPr>
                  <w:tcW w:w="1777" w:type="pct"/>
                  <w:noWrap/>
                  <w:vAlign w:val="center"/>
                </w:tcPr>
                <w:p w14:paraId="5FB8E459">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2A2CB75E">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w:t>
                  </w:r>
                </w:p>
              </w:tc>
              <w:tc>
                <w:tcPr>
                  <w:tcW w:w="810" w:type="pct"/>
                  <w:noWrap/>
                  <w:vAlign w:val="center"/>
                </w:tcPr>
                <w:p w14:paraId="3647628F">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瓶</w:t>
                  </w:r>
                </w:p>
              </w:tc>
            </w:tr>
            <w:tr w14:paraId="71A010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7563429D">
                  <w:pPr>
                    <w:pStyle w:val="21"/>
                    <w:spacing w:before="37" w:line="199" w:lineRule="auto"/>
                    <w:jc w:val="center"/>
                    <w:rPr>
                      <w:rFonts w:hint="default" w:ascii="Times New Roman" w:hAnsi="Times New Roman" w:cs="Times New Roman"/>
                      <w:spacing w:val="-1"/>
                      <w:sz w:val="18"/>
                      <w:szCs w:val="18"/>
                      <w:highlight w:val="none"/>
                    </w:rPr>
                  </w:pPr>
                  <w:r>
                    <w:rPr>
                      <w:rFonts w:hint="default" w:ascii="Times New Roman" w:hAnsi="Times New Roman" w:cs="Times New Roman"/>
                      <w:spacing w:val="-2"/>
                      <w:sz w:val="18"/>
                      <w:szCs w:val="18"/>
                      <w:highlight w:val="none"/>
                    </w:rPr>
                    <w:t>变压器</w:t>
                  </w:r>
                </w:p>
              </w:tc>
              <w:tc>
                <w:tcPr>
                  <w:tcW w:w="1777" w:type="pct"/>
                  <w:noWrap/>
                  <w:vAlign w:val="center"/>
                </w:tcPr>
                <w:p w14:paraId="144AE6B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32A6FBAD">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810" w:type="pct"/>
                  <w:noWrap/>
                  <w:vAlign w:val="center"/>
                </w:tcPr>
                <w:p w14:paraId="10584E9C">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116252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5E5F719D">
                  <w:pPr>
                    <w:pStyle w:val="21"/>
                    <w:spacing w:before="46" w:line="200" w:lineRule="auto"/>
                    <w:jc w:val="center"/>
                    <w:rPr>
                      <w:rFonts w:hint="default" w:ascii="Times New Roman" w:hAnsi="Times New Roman" w:cs="Times New Roman"/>
                      <w:spacing w:val="-1"/>
                      <w:sz w:val="18"/>
                      <w:szCs w:val="18"/>
                      <w:highlight w:val="none"/>
                    </w:rPr>
                  </w:pPr>
                  <w:r>
                    <w:rPr>
                      <w:rFonts w:hint="default" w:ascii="Times New Roman" w:hAnsi="Times New Roman" w:cs="Times New Roman"/>
                      <w:spacing w:val="1"/>
                      <w:sz w:val="18"/>
                      <w:szCs w:val="18"/>
                      <w:highlight w:val="none"/>
                    </w:rPr>
                    <w:t>电力配套设备</w:t>
                  </w:r>
                </w:p>
              </w:tc>
              <w:tc>
                <w:tcPr>
                  <w:tcW w:w="1777" w:type="pct"/>
                  <w:noWrap/>
                  <w:vAlign w:val="center"/>
                </w:tcPr>
                <w:p w14:paraId="3FDB5CD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23E5FB5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810" w:type="pct"/>
                  <w:noWrap/>
                  <w:vAlign w:val="center"/>
                </w:tcPr>
                <w:p w14:paraId="586EDEDF">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套</w:t>
                  </w:r>
                </w:p>
              </w:tc>
            </w:tr>
            <w:tr w14:paraId="30414D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CE3E2D8">
                  <w:pPr>
                    <w:pStyle w:val="21"/>
                    <w:spacing w:before="35" w:line="201" w:lineRule="auto"/>
                    <w:jc w:val="center"/>
                    <w:rPr>
                      <w:rFonts w:hint="default" w:ascii="Times New Roman" w:hAnsi="Times New Roman" w:cs="Times New Roman"/>
                      <w:spacing w:val="-1"/>
                      <w:sz w:val="18"/>
                      <w:szCs w:val="18"/>
                      <w:highlight w:val="none"/>
                    </w:rPr>
                  </w:pPr>
                  <w:r>
                    <w:rPr>
                      <w:rFonts w:hint="default" w:ascii="Times New Roman" w:hAnsi="Times New Roman" w:cs="Times New Roman"/>
                      <w:spacing w:val="-2"/>
                      <w:sz w:val="18"/>
                      <w:szCs w:val="18"/>
                      <w:highlight w:val="none"/>
                    </w:rPr>
                    <w:t>供水设备</w:t>
                  </w:r>
                </w:p>
              </w:tc>
              <w:tc>
                <w:tcPr>
                  <w:tcW w:w="1777" w:type="pct"/>
                  <w:noWrap/>
                  <w:vAlign w:val="center"/>
                </w:tcPr>
                <w:p w14:paraId="69927D9D">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189DB676">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7A79AE39">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套</w:t>
                  </w:r>
                </w:p>
              </w:tc>
            </w:tr>
            <w:tr w14:paraId="4345E2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024F244A">
                  <w:pPr>
                    <w:pStyle w:val="21"/>
                    <w:spacing w:before="35" w:line="201" w:lineRule="auto"/>
                    <w:jc w:val="center"/>
                    <w:rPr>
                      <w:rFonts w:hint="default" w:ascii="Times New Roman" w:hAnsi="Times New Roman" w:cs="Times New Roman"/>
                      <w:spacing w:val="-2"/>
                      <w:sz w:val="18"/>
                      <w:szCs w:val="18"/>
                      <w:highlight w:val="none"/>
                      <w:lang w:eastAsia="zh-CN"/>
                    </w:rPr>
                  </w:pPr>
                  <w:r>
                    <w:rPr>
                      <w:rFonts w:hint="default" w:ascii="Times New Roman" w:hAnsi="Times New Roman" w:cs="Times New Roman"/>
                      <w:spacing w:val="-2"/>
                      <w:sz w:val="18"/>
                      <w:szCs w:val="18"/>
                      <w:highlight w:val="none"/>
                      <w:lang w:eastAsia="zh-CN"/>
                    </w:rPr>
                    <w:t>滚筒筛</w:t>
                  </w:r>
                </w:p>
              </w:tc>
              <w:tc>
                <w:tcPr>
                  <w:tcW w:w="1777" w:type="pct"/>
                  <w:noWrap/>
                  <w:vAlign w:val="center"/>
                </w:tcPr>
                <w:p w14:paraId="0DC31E90">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128785D5">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249F22BA">
                  <w:pPr>
                    <w:widowControl/>
                    <w:jc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eastAsia="zh-CN"/>
                    </w:rPr>
                    <w:t>台</w:t>
                  </w:r>
                </w:p>
              </w:tc>
            </w:tr>
            <w:tr w14:paraId="3A1A34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77336615">
                  <w:pPr>
                    <w:pStyle w:val="21"/>
                    <w:spacing w:before="35" w:line="201" w:lineRule="auto"/>
                    <w:jc w:val="center"/>
                    <w:rPr>
                      <w:rFonts w:hint="default" w:ascii="Times New Roman" w:hAnsi="Times New Roman" w:cs="Times New Roman"/>
                      <w:spacing w:val="-2"/>
                      <w:sz w:val="18"/>
                      <w:szCs w:val="18"/>
                      <w:highlight w:val="none"/>
                      <w:lang w:eastAsia="zh-CN"/>
                    </w:rPr>
                  </w:pPr>
                  <w:r>
                    <w:rPr>
                      <w:rFonts w:hint="default" w:ascii="Times New Roman" w:hAnsi="Times New Roman" w:cs="Times New Roman"/>
                      <w:spacing w:val="-2"/>
                      <w:sz w:val="18"/>
                      <w:szCs w:val="18"/>
                      <w:highlight w:val="none"/>
                      <w:lang w:eastAsia="zh-CN"/>
                    </w:rPr>
                    <w:t>输送机</w:t>
                  </w:r>
                </w:p>
              </w:tc>
              <w:tc>
                <w:tcPr>
                  <w:tcW w:w="1777" w:type="pct"/>
                  <w:noWrap/>
                  <w:vAlign w:val="center"/>
                </w:tcPr>
                <w:p w14:paraId="131CE2AC">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10m</w:t>
                  </w:r>
                </w:p>
              </w:tc>
              <w:tc>
                <w:tcPr>
                  <w:tcW w:w="810" w:type="pct"/>
                  <w:noWrap/>
                  <w:vAlign w:val="center"/>
                </w:tcPr>
                <w:p w14:paraId="5ECA3164">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810" w:type="pct"/>
                  <w:noWrap/>
                  <w:vAlign w:val="center"/>
                </w:tcPr>
                <w:p w14:paraId="630C2938">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4870FC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6E97E2EE">
                  <w:pPr>
                    <w:pStyle w:val="21"/>
                    <w:spacing w:before="35" w:line="201" w:lineRule="auto"/>
                    <w:jc w:val="center"/>
                    <w:rPr>
                      <w:rFonts w:hint="default" w:ascii="Times New Roman" w:hAnsi="Times New Roman" w:cs="Times New Roman"/>
                      <w:spacing w:val="-2"/>
                      <w:sz w:val="18"/>
                      <w:szCs w:val="18"/>
                      <w:highlight w:val="none"/>
                      <w:lang w:eastAsia="zh-CN"/>
                    </w:rPr>
                  </w:pPr>
                  <w:r>
                    <w:rPr>
                      <w:rFonts w:hint="default" w:ascii="Times New Roman" w:hAnsi="Times New Roman" w:cs="Times New Roman"/>
                      <w:spacing w:val="-2"/>
                      <w:sz w:val="18"/>
                      <w:szCs w:val="18"/>
                      <w:highlight w:val="none"/>
                      <w:lang w:eastAsia="zh-CN"/>
                    </w:rPr>
                    <w:t>清洗机</w:t>
                  </w:r>
                </w:p>
              </w:tc>
              <w:tc>
                <w:tcPr>
                  <w:tcW w:w="1777" w:type="pct"/>
                  <w:noWrap/>
                  <w:vAlign w:val="center"/>
                </w:tcPr>
                <w:p w14:paraId="15347A80">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236EAE10">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5B71270C">
                  <w:pPr>
                    <w:widowControl/>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台</w:t>
                  </w:r>
                </w:p>
              </w:tc>
            </w:tr>
            <w:tr w14:paraId="471306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25892E53">
                  <w:pPr>
                    <w:pStyle w:val="21"/>
                    <w:spacing w:before="35" w:line="201" w:lineRule="auto"/>
                    <w:jc w:val="center"/>
                    <w:rPr>
                      <w:rFonts w:hint="default" w:ascii="Times New Roman" w:hAnsi="Times New Roman" w:cs="Times New Roman"/>
                      <w:spacing w:val="-2"/>
                      <w:sz w:val="18"/>
                      <w:szCs w:val="18"/>
                      <w:highlight w:val="none"/>
                      <w:lang w:eastAsia="zh-CN"/>
                    </w:rPr>
                  </w:pPr>
                  <w:r>
                    <w:rPr>
                      <w:rFonts w:hint="default" w:ascii="Times New Roman" w:hAnsi="Times New Roman" w:eastAsia="宋体" w:cs="Times New Roman"/>
                      <w:color w:val="auto"/>
                      <w:spacing w:val="0"/>
                      <w:sz w:val="18"/>
                      <w:szCs w:val="18"/>
                      <w:highlight w:val="none"/>
                      <w:lang w:val="en-US" w:eastAsia="zh-CN"/>
                    </w:rPr>
                    <w:t>真空</w:t>
                  </w:r>
                  <w:r>
                    <w:rPr>
                      <w:rFonts w:hint="default" w:ascii="Times New Roman" w:hAnsi="Times New Roman" w:eastAsia="宋体" w:cs="Times New Roman"/>
                      <w:color w:val="auto"/>
                      <w:spacing w:val="0"/>
                      <w:sz w:val="18"/>
                      <w:szCs w:val="18"/>
                      <w:highlight w:val="none"/>
                      <w:lang w:val="en-US" w:eastAsia="zh-CN"/>
                    </w:rPr>
                    <w:t>包装机</w:t>
                  </w:r>
                </w:p>
              </w:tc>
              <w:tc>
                <w:tcPr>
                  <w:tcW w:w="1777" w:type="pct"/>
                  <w:noWrap/>
                  <w:vAlign w:val="center"/>
                </w:tcPr>
                <w:p w14:paraId="5D89EAA0">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810" w:type="pct"/>
                  <w:noWrap/>
                  <w:vAlign w:val="center"/>
                </w:tcPr>
                <w:p w14:paraId="7291B0E6">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w:t>
                  </w:r>
                </w:p>
              </w:tc>
              <w:tc>
                <w:tcPr>
                  <w:tcW w:w="810" w:type="pct"/>
                  <w:noWrap/>
                  <w:vAlign w:val="center"/>
                </w:tcPr>
                <w:p w14:paraId="33513A92">
                  <w:pPr>
                    <w:widowControl/>
                    <w:jc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eastAsia="zh-CN"/>
                    </w:rPr>
                    <w:t>台</w:t>
                  </w:r>
                </w:p>
              </w:tc>
            </w:tr>
            <w:tr w14:paraId="04D1E5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01" w:type="pct"/>
                  <w:noWrap/>
                  <w:vAlign w:val="top"/>
                </w:tcPr>
                <w:p w14:paraId="16A44DF2">
                  <w:pPr>
                    <w:pStyle w:val="21"/>
                    <w:spacing w:before="35" w:line="201" w:lineRule="auto"/>
                    <w:jc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磨板</w:t>
                  </w:r>
                </w:p>
              </w:tc>
              <w:tc>
                <w:tcPr>
                  <w:tcW w:w="1777" w:type="pct"/>
                  <w:shd w:val="clear" w:color="auto" w:fill="auto"/>
                  <w:noWrap/>
                  <w:vAlign w:val="center"/>
                </w:tcPr>
                <w:p w14:paraId="315BD8DE">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w:t>
                  </w:r>
                </w:p>
              </w:tc>
              <w:tc>
                <w:tcPr>
                  <w:tcW w:w="810" w:type="pct"/>
                  <w:shd w:val="clear" w:color="auto" w:fill="auto"/>
                  <w:noWrap/>
                  <w:vAlign w:val="center"/>
                </w:tcPr>
                <w:p w14:paraId="10C89285">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w:t>
                  </w:r>
                </w:p>
              </w:tc>
              <w:tc>
                <w:tcPr>
                  <w:tcW w:w="810" w:type="pct"/>
                  <w:shd w:val="clear" w:color="auto" w:fill="auto"/>
                  <w:noWrap/>
                  <w:vAlign w:val="center"/>
                </w:tcPr>
                <w:p w14:paraId="07AC9019">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eastAsia="zh-CN"/>
                    </w:rPr>
                    <w:t>台</w:t>
                  </w:r>
                </w:p>
              </w:tc>
            </w:tr>
          </w:tbl>
          <w:p w14:paraId="44B19554">
            <w:pPr>
              <w:adjustRightInd w:val="0"/>
              <w:snapToGrid w:val="0"/>
              <w:ind w:firstLine="420" w:firstLineChars="200"/>
              <w:rPr>
                <w:rFonts w:hint="default" w:ascii="Times New Roman" w:hAnsi="Times New Roman" w:cs="Times New Roman"/>
                <w:bCs/>
                <w:color w:val="auto"/>
                <w:szCs w:val="21"/>
                <w:highlight w:val="none"/>
              </w:rPr>
            </w:pPr>
          </w:p>
          <w:p w14:paraId="6C5B30E1">
            <w:pPr>
              <w:adjustRightInd w:val="0"/>
              <w:snapToGrid w:val="0"/>
              <w:spacing w:line="360" w:lineRule="auto"/>
              <w:ind w:firstLine="422"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、原辅材料用量</w:t>
            </w:r>
            <w:r>
              <w:rPr>
                <w:rFonts w:hint="default" w:ascii="Times New Roman" w:hAnsi="Times New Roman" w:cs="Times New Roman"/>
                <w:b/>
                <w:color w:val="auto"/>
                <w:szCs w:val="21"/>
                <w:highlight w:val="none"/>
                <w:lang w:eastAsia="zh-CN"/>
              </w:rPr>
              <w:t>及产品方案</w:t>
            </w:r>
          </w:p>
          <w:p w14:paraId="1C815541">
            <w:pPr>
              <w:adjustRightInd w:val="0"/>
              <w:snapToGrid w:val="0"/>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本项目原辅料用量</w:t>
            </w:r>
            <w:r>
              <w:rPr>
                <w:rFonts w:hint="default" w:ascii="Times New Roman" w:hAnsi="Times New Roman" w:cs="Times New Roman"/>
                <w:bCs/>
                <w:color w:val="auto"/>
                <w:szCs w:val="21"/>
                <w:highlight w:val="none"/>
                <w:lang w:eastAsia="zh-CN"/>
              </w:rPr>
              <w:t>及产品方案</w:t>
            </w:r>
            <w:r>
              <w:rPr>
                <w:rFonts w:hint="default" w:ascii="Times New Roman" w:hAnsi="Times New Roman" w:cs="Times New Roman"/>
                <w:bCs/>
                <w:color w:val="auto"/>
                <w:szCs w:val="21"/>
                <w:highlight w:val="none"/>
              </w:rPr>
              <w:t>情况详见表2-</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 xml:space="preserve"> </w:t>
            </w:r>
          </w:p>
          <w:p w14:paraId="6963E3A0">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 xml:space="preserve">  原辅料</w:t>
            </w:r>
            <w:r>
              <w:rPr>
                <w:rFonts w:hint="default" w:ascii="Times New Roman" w:hAnsi="Times New Roman" w:cs="Times New Roman"/>
                <w:b/>
                <w:color w:val="auto"/>
                <w:szCs w:val="21"/>
                <w:highlight w:val="none"/>
                <w:lang w:eastAsia="zh-CN"/>
              </w:rPr>
              <w:t>及产品方案</w:t>
            </w:r>
            <w:r>
              <w:rPr>
                <w:rFonts w:hint="default" w:ascii="Times New Roman" w:hAnsi="Times New Roman" w:cs="Times New Roman"/>
                <w:b/>
                <w:color w:val="auto"/>
                <w:szCs w:val="21"/>
                <w:highlight w:val="none"/>
              </w:rPr>
              <w:t>一览表</w:t>
            </w:r>
          </w:p>
          <w:tbl>
            <w:tblPr>
              <w:tblStyle w:val="13"/>
              <w:tblW w:w="490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011"/>
              <w:gridCol w:w="2061"/>
              <w:gridCol w:w="2084"/>
            </w:tblGrid>
            <w:tr w14:paraId="6F702E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667" w:type="pct"/>
                  <w:noWrap w:val="0"/>
                  <w:vAlign w:val="center"/>
                </w:tcPr>
                <w:p w14:paraId="0835EC48">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序号</w:t>
                  </w:r>
                </w:p>
              </w:tc>
              <w:tc>
                <w:tcPr>
                  <w:tcW w:w="1823" w:type="pct"/>
                  <w:noWrap w:val="0"/>
                  <w:vAlign w:val="center"/>
                </w:tcPr>
                <w:p w14:paraId="51B21548">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名称</w:t>
                  </w:r>
                </w:p>
              </w:tc>
              <w:tc>
                <w:tcPr>
                  <w:tcW w:w="1248" w:type="pct"/>
                  <w:noWrap w:val="0"/>
                  <w:vAlign w:val="center"/>
                </w:tcPr>
                <w:p w14:paraId="7F6FBF2E">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单位</w:t>
                  </w:r>
                </w:p>
              </w:tc>
              <w:tc>
                <w:tcPr>
                  <w:tcW w:w="1260" w:type="pct"/>
                  <w:noWrap w:val="0"/>
                  <w:vAlign w:val="center"/>
                </w:tcPr>
                <w:p w14:paraId="6DB034D6">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年用量</w:t>
                  </w:r>
                </w:p>
              </w:tc>
            </w:tr>
            <w:tr w14:paraId="34E140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00" w:type="pct"/>
                  <w:gridSpan w:val="4"/>
                  <w:noWrap w:val="0"/>
                  <w:vAlign w:val="center"/>
                </w:tcPr>
                <w:p w14:paraId="09CC6993">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lang w:eastAsia="zh-CN"/>
                    </w:rPr>
                    <w:t>原辅材料</w:t>
                  </w:r>
                </w:p>
              </w:tc>
            </w:tr>
            <w:tr w14:paraId="22CA61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58A72E04">
                  <w:pPr>
                    <w:widowControl/>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1</w:t>
                  </w:r>
                </w:p>
              </w:tc>
              <w:tc>
                <w:tcPr>
                  <w:tcW w:w="1823" w:type="pct"/>
                  <w:noWrap w:val="0"/>
                  <w:vAlign w:val="center"/>
                </w:tcPr>
                <w:p w14:paraId="22C3D7D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生物质颗粒</w:t>
                  </w:r>
                </w:p>
              </w:tc>
              <w:tc>
                <w:tcPr>
                  <w:tcW w:w="1248" w:type="pct"/>
                  <w:noWrap w:val="0"/>
                  <w:vAlign w:val="center"/>
                </w:tcPr>
                <w:p w14:paraId="05D83D06">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306.44</w:t>
                  </w:r>
                </w:p>
              </w:tc>
              <w:tc>
                <w:tcPr>
                  <w:tcW w:w="1260" w:type="pct"/>
                  <w:noWrap w:val="0"/>
                  <w:vAlign w:val="center"/>
                </w:tcPr>
                <w:p w14:paraId="25BA709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吨</w:t>
                  </w:r>
                </w:p>
              </w:tc>
            </w:tr>
            <w:tr w14:paraId="064C8C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559D7333">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w:t>
                  </w:r>
                </w:p>
              </w:tc>
              <w:tc>
                <w:tcPr>
                  <w:tcW w:w="1823" w:type="pct"/>
                  <w:noWrap w:val="0"/>
                  <w:vAlign w:val="center"/>
                </w:tcPr>
                <w:p w14:paraId="4778047E">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离子交换树脂</w:t>
                  </w:r>
                </w:p>
              </w:tc>
              <w:tc>
                <w:tcPr>
                  <w:tcW w:w="1248" w:type="pct"/>
                  <w:noWrap w:val="0"/>
                  <w:vAlign w:val="center"/>
                </w:tcPr>
                <w:p w14:paraId="1B81BAC1">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0.1</w:t>
                  </w:r>
                </w:p>
              </w:tc>
              <w:tc>
                <w:tcPr>
                  <w:tcW w:w="1260" w:type="pct"/>
                  <w:noWrap w:val="0"/>
                  <w:vAlign w:val="center"/>
                </w:tcPr>
                <w:p w14:paraId="7BD287F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吨</w:t>
                  </w:r>
                </w:p>
              </w:tc>
            </w:tr>
            <w:tr w14:paraId="245C43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1F64CAB1">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3</w:t>
                  </w:r>
                </w:p>
              </w:tc>
              <w:tc>
                <w:tcPr>
                  <w:tcW w:w="1823" w:type="pct"/>
                  <w:noWrap w:val="0"/>
                  <w:vAlign w:val="top"/>
                </w:tcPr>
                <w:p w14:paraId="5CA2A67C">
                  <w:pPr>
                    <w:pStyle w:val="2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新鲜粘玉米</w:t>
                  </w:r>
                </w:p>
              </w:tc>
              <w:tc>
                <w:tcPr>
                  <w:tcW w:w="1248" w:type="pct"/>
                  <w:noWrap w:val="0"/>
                  <w:vAlign w:val="center"/>
                </w:tcPr>
                <w:p w14:paraId="7299267D">
                  <w:pPr>
                    <w:widowControl/>
                    <w:jc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2250</w:t>
                  </w:r>
                </w:p>
              </w:tc>
              <w:tc>
                <w:tcPr>
                  <w:tcW w:w="1260" w:type="pct"/>
                  <w:noWrap w:val="0"/>
                  <w:vAlign w:val="center"/>
                </w:tcPr>
                <w:p w14:paraId="315B6E1F">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吨</w:t>
                  </w:r>
                </w:p>
              </w:tc>
            </w:tr>
            <w:tr w14:paraId="17280F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5B924709">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w:t>
                  </w:r>
                </w:p>
              </w:tc>
              <w:tc>
                <w:tcPr>
                  <w:tcW w:w="1823" w:type="pct"/>
                  <w:noWrap w:val="0"/>
                  <w:vAlign w:val="center"/>
                </w:tcPr>
                <w:p w14:paraId="04672127">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葱</w:t>
                  </w:r>
                </w:p>
              </w:tc>
              <w:tc>
                <w:tcPr>
                  <w:tcW w:w="1248" w:type="pct"/>
                  <w:noWrap w:val="0"/>
                  <w:vAlign w:val="center"/>
                </w:tcPr>
                <w:p w14:paraId="5C76FC43">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10</w:t>
                  </w:r>
                </w:p>
              </w:tc>
              <w:tc>
                <w:tcPr>
                  <w:tcW w:w="1260" w:type="pct"/>
                  <w:noWrap w:val="0"/>
                  <w:vAlign w:val="center"/>
                </w:tcPr>
                <w:p w14:paraId="1F85C161">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吨</w:t>
                  </w:r>
                </w:p>
              </w:tc>
            </w:tr>
            <w:tr w14:paraId="0245AC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7E3CB9A6">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w:t>
                  </w:r>
                </w:p>
              </w:tc>
              <w:tc>
                <w:tcPr>
                  <w:tcW w:w="1823" w:type="pct"/>
                  <w:noWrap w:val="0"/>
                  <w:vAlign w:val="center"/>
                </w:tcPr>
                <w:p w14:paraId="24E2E1EB">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油</w:t>
                  </w:r>
                </w:p>
              </w:tc>
              <w:tc>
                <w:tcPr>
                  <w:tcW w:w="1248" w:type="pct"/>
                  <w:noWrap w:val="0"/>
                  <w:vAlign w:val="center"/>
                </w:tcPr>
                <w:p w14:paraId="00D05A3A">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w:t>
                  </w:r>
                </w:p>
              </w:tc>
              <w:tc>
                <w:tcPr>
                  <w:tcW w:w="1260" w:type="pct"/>
                  <w:noWrap w:val="0"/>
                  <w:vAlign w:val="center"/>
                </w:tcPr>
                <w:p w14:paraId="54FF41EE">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吨</w:t>
                  </w:r>
                </w:p>
              </w:tc>
            </w:tr>
            <w:tr w14:paraId="29DAEC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05C9BCD8">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6</w:t>
                  </w:r>
                </w:p>
              </w:tc>
              <w:tc>
                <w:tcPr>
                  <w:tcW w:w="1823" w:type="pct"/>
                  <w:noWrap w:val="0"/>
                  <w:vAlign w:val="center"/>
                </w:tcPr>
                <w:p w14:paraId="49642760">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盐</w:t>
                  </w:r>
                </w:p>
              </w:tc>
              <w:tc>
                <w:tcPr>
                  <w:tcW w:w="1248" w:type="pct"/>
                  <w:noWrap w:val="0"/>
                  <w:vAlign w:val="center"/>
                </w:tcPr>
                <w:p w14:paraId="740A267B">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5</w:t>
                  </w:r>
                </w:p>
              </w:tc>
              <w:tc>
                <w:tcPr>
                  <w:tcW w:w="1260" w:type="pct"/>
                  <w:noWrap w:val="0"/>
                  <w:vAlign w:val="center"/>
                </w:tcPr>
                <w:p w14:paraId="4E55A932">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吨</w:t>
                  </w:r>
                </w:p>
              </w:tc>
            </w:tr>
            <w:tr w14:paraId="6D503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03FE722A">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7</w:t>
                  </w:r>
                </w:p>
              </w:tc>
              <w:tc>
                <w:tcPr>
                  <w:tcW w:w="1823" w:type="pct"/>
                  <w:noWrap w:val="0"/>
                  <w:vAlign w:val="center"/>
                </w:tcPr>
                <w:p w14:paraId="5D9E01C6">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氟利昂</w:t>
                  </w:r>
                  <w:r>
                    <w:rPr>
                      <w:rFonts w:hint="default" w:ascii="Times New Roman" w:hAnsi="Times New Roman" w:eastAsia="宋体" w:cs="Times New Roman"/>
                      <w:color w:val="auto"/>
                      <w:sz w:val="18"/>
                      <w:szCs w:val="18"/>
                      <w:highlight w:val="none"/>
                    </w:rPr>
                    <w:t>-R507</w:t>
                  </w:r>
                </w:p>
              </w:tc>
              <w:tc>
                <w:tcPr>
                  <w:tcW w:w="1248" w:type="pct"/>
                  <w:noWrap w:val="0"/>
                  <w:vAlign w:val="center"/>
                </w:tcPr>
                <w:p w14:paraId="01BE6621">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1.5</w:t>
                  </w:r>
                </w:p>
              </w:tc>
              <w:tc>
                <w:tcPr>
                  <w:tcW w:w="1260" w:type="pct"/>
                  <w:noWrap w:val="0"/>
                  <w:vAlign w:val="center"/>
                </w:tcPr>
                <w:p w14:paraId="79CA26CD">
                  <w:pPr>
                    <w:widowControl/>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吨</w:t>
                  </w:r>
                </w:p>
              </w:tc>
            </w:tr>
            <w:tr w14:paraId="19E027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00" w:type="pct"/>
                  <w:gridSpan w:val="4"/>
                  <w:noWrap w:val="0"/>
                  <w:vAlign w:val="center"/>
                </w:tcPr>
                <w:p w14:paraId="7B9DE6A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能源消耗</w:t>
                  </w:r>
                </w:p>
              </w:tc>
            </w:tr>
            <w:tr w14:paraId="79F91A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382D53F9">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c>
                <w:tcPr>
                  <w:tcW w:w="1823" w:type="pct"/>
                  <w:noWrap w:val="0"/>
                  <w:vAlign w:val="top"/>
                </w:tcPr>
                <w:p w14:paraId="31CBE3C3">
                  <w:pPr>
                    <w:pStyle w:val="2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水</w:t>
                  </w:r>
                </w:p>
              </w:tc>
              <w:tc>
                <w:tcPr>
                  <w:tcW w:w="1248" w:type="pct"/>
                  <w:noWrap w:val="0"/>
                  <w:vAlign w:val="center"/>
                </w:tcPr>
                <w:p w14:paraId="31E19994">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425.43</w:t>
                  </w:r>
                </w:p>
              </w:tc>
              <w:tc>
                <w:tcPr>
                  <w:tcW w:w="1260" w:type="pct"/>
                  <w:noWrap w:val="0"/>
                  <w:vAlign w:val="center"/>
                </w:tcPr>
                <w:p w14:paraId="6FD55C8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吨</w:t>
                  </w:r>
                </w:p>
              </w:tc>
            </w:tr>
            <w:tr w14:paraId="37DA21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7" w:type="pct"/>
                  <w:noWrap w:val="0"/>
                  <w:vAlign w:val="center"/>
                </w:tcPr>
                <w:p w14:paraId="3C6ACAC1">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w:t>
                  </w:r>
                </w:p>
              </w:tc>
              <w:tc>
                <w:tcPr>
                  <w:tcW w:w="1823" w:type="pct"/>
                  <w:noWrap w:val="0"/>
                  <w:vAlign w:val="top"/>
                </w:tcPr>
                <w:p w14:paraId="69140316">
                  <w:pPr>
                    <w:pStyle w:val="2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电</w:t>
                  </w:r>
                </w:p>
              </w:tc>
              <w:tc>
                <w:tcPr>
                  <w:tcW w:w="1248" w:type="pct"/>
                  <w:noWrap w:val="0"/>
                  <w:vAlign w:val="center"/>
                </w:tcPr>
                <w:p w14:paraId="0B45405F">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189.75</w:t>
                  </w:r>
                </w:p>
              </w:tc>
              <w:tc>
                <w:tcPr>
                  <w:tcW w:w="1260" w:type="pct"/>
                  <w:noWrap w:val="0"/>
                  <w:vAlign w:val="center"/>
                </w:tcPr>
                <w:p w14:paraId="4357CBB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万度</w:t>
                  </w:r>
                </w:p>
              </w:tc>
            </w:tr>
            <w:tr w14:paraId="1547ED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00" w:type="pct"/>
                  <w:gridSpan w:val="4"/>
                  <w:noWrap w:val="0"/>
                  <w:vAlign w:val="center"/>
                </w:tcPr>
                <w:p w14:paraId="1BF7150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产品方案</w:t>
                  </w:r>
                </w:p>
              </w:tc>
            </w:tr>
            <w:tr w14:paraId="0325F2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67" w:type="pct"/>
                  <w:noWrap w:val="0"/>
                  <w:vAlign w:val="center"/>
                </w:tcPr>
                <w:p w14:paraId="4FE8A1B2">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w:t>
                  </w:r>
                </w:p>
              </w:tc>
              <w:tc>
                <w:tcPr>
                  <w:tcW w:w="1823" w:type="pct"/>
                  <w:noWrap w:val="0"/>
                  <w:vAlign w:val="top"/>
                </w:tcPr>
                <w:p w14:paraId="1EB04A23">
                  <w:pPr>
                    <w:pStyle w:val="2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速冻玉米</w:t>
                  </w:r>
                </w:p>
              </w:tc>
              <w:tc>
                <w:tcPr>
                  <w:tcW w:w="1248" w:type="pct"/>
                  <w:noWrap w:val="0"/>
                  <w:vAlign w:val="center"/>
                </w:tcPr>
                <w:p w14:paraId="2BFEF581">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1500</w:t>
                  </w:r>
                </w:p>
              </w:tc>
              <w:tc>
                <w:tcPr>
                  <w:tcW w:w="1260" w:type="pct"/>
                  <w:noWrap w:val="0"/>
                  <w:vAlign w:val="center"/>
                </w:tcPr>
                <w:p w14:paraId="61845B7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吨</w:t>
                  </w:r>
                </w:p>
              </w:tc>
            </w:tr>
            <w:tr w14:paraId="681634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67" w:type="pct"/>
                  <w:noWrap w:val="0"/>
                  <w:vAlign w:val="center"/>
                </w:tcPr>
                <w:p w14:paraId="28C4E476">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w:t>
                  </w:r>
                </w:p>
              </w:tc>
              <w:tc>
                <w:tcPr>
                  <w:tcW w:w="1823" w:type="pct"/>
                  <w:noWrap w:val="0"/>
                  <w:vAlign w:val="top"/>
                </w:tcPr>
                <w:p w14:paraId="7ADB8856">
                  <w:pPr>
                    <w:pStyle w:val="2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玉米饼</w:t>
                  </w:r>
                </w:p>
              </w:tc>
              <w:tc>
                <w:tcPr>
                  <w:tcW w:w="1248" w:type="pct"/>
                  <w:noWrap w:val="0"/>
                  <w:vAlign w:val="center"/>
                </w:tcPr>
                <w:p w14:paraId="345D39A1">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400</w:t>
                  </w:r>
                </w:p>
              </w:tc>
              <w:tc>
                <w:tcPr>
                  <w:tcW w:w="1260" w:type="pct"/>
                  <w:noWrap w:val="0"/>
                  <w:vAlign w:val="center"/>
                </w:tcPr>
                <w:p w14:paraId="2591549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吨</w:t>
                  </w:r>
                </w:p>
              </w:tc>
            </w:tr>
          </w:tbl>
          <w:p w14:paraId="21E2549E">
            <w:pPr>
              <w:pStyle w:val="9"/>
              <w:adjustRightInd w:val="0"/>
              <w:snapToGrid w:val="0"/>
              <w:spacing w:line="360" w:lineRule="auto"/>
              <w:ind w:left="0" w:leftChars="0" w:firstLine="420" w:firstLineChars="200"/>
              <w:rPr>
                <w:rFonts w:hint="default" w:ascii="Times New Roman" w:hAnsi="Times New Roman" w:eastAsia="宋体" w:cs="Times New Roman"/>
                <w:bCs/>
                <w:color w:val="auto"/>
                <w:kern w:val="2"/>
                <w:sz w:val="21"/>
                <w:szCs w:val="21"/>
                <w:highlight w:val="none"/>
                <w:lang w:val="en-US" w:eastAsia="zh-CN" w:bidi="ar-SA"/>
              </w:rPr>
            </w:pPr>
          </w:p>
          <w:p w14:paraId="2C4584DF">
            <w:pPr>
              <w:rPr>
                <w:rFonts w:hint="default" w:ascii="Times New Roman" w:hAnsi="Times New Roman" w:eastAsia="宋体" w:cs="Times New Roman"/>
                <w:bCs/>
                <w:color w:val="auto"/>
                <w:kern w:val="2"/>
                <w:sz w:val="21"/>
                <w:szCs w:val="21"/>
                <w:highlight w:val="none"/>
                <w:lang w:val="en-US" w:eastAsia="zh-CN" w:bidi="ar-SA"/>
              </w:rPr>
            </w:pPr>
          </w:p>
          <w:p w14:paraId="119FC6ED">
            <w:pPr>
              <w:pStyle w:val="33"/>
              <w:rPr>
                <w:rFonts w:hint="default" w:ascii="Times New Roman" w:hAnsi="Times New Roman" w:cs="Times New Roman"/>
                <w:highlight w:val="none"/>
                <w:lang w:val="en-US" w:eastAsia="zh-CN"/>
              </w:rPr>
            </w:pPr>
          </w:p>
          <w:p w14:paraId="6D7155B8">
            <w:pPr>
              <w:adjustRightInd w:val="0"/>
              <w:snapToGrid w:val="0"/>
              <w:jc w:val="center"/>
              <w:rPr>
                <w:rFonts w:hint="default" w:ascii="Times New Roman" w:hAnsi="Times New Roman" w:cs="Times New Roman"/>
                <w:highlight w:val="none"/>
                <w:lang w:val="en-US" w:eastAsia="zh-CN"/>
              </w:rPr>
            </w:pPr>
            <w:r>
              <w:rPr>
                <w:rFonts w:hint="default" w:ascii="Times New Roman" w:hAnsi="Times New Roman" w:eastAsia="宋体" w:cs="Times New Roman"/>
                <w:b/>
                <w:color w:val="auto"/>
                <w:szCs w:val="21"/>
                <w:highlight w:val="none"/>
                <w:lang w:val="en-US" w:eastAsia="zh-CN"/>
              </w:rPr>
              <w:t>表2-4 物</w:t>
            </w:r>
            <w:r>
              <w:rPr>
                <w:rFonts w:hint="default" w:ascii="Times New Roman" w:hAnsi="Times New Roman" w:eastAsia="宋体" w:cs="Times New Roman"/>
                <w:b/>
                <w:color w:val="auto"/>
                <w:szCs w:val="21"/>
                <w:highlight w:val="none"/>
                <w:lang w:val="en-US" w:eastAsia="zh-CN"/>
              </w:rPr>
              <w:t>料平衡一览表</w:t>
            </w:r>
          </w:p>
          <w:tbl>
            <w:tblPr>
              <w:tblStyle w:val="1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2626"/>
              <w:gridCol w:w="1582"/>
              <w:gridCol w:w="1969"/>
              <w:gridCol w:w="2243"/>
            </w:tblGrid>
            <w:tr w14:paraId="77FEFEA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4208" w:type="dxa"/>
                  <w:gridSpan w:val="2"/>
                  <w:tcBorders>
                    <w:tl2br w:val="nil"/>
                    <w:tr2bl w:val="nil"/>
                  </w:tcBorders>
                  <w:noWrap w:val="0"/>
                  <w:vAlign w:val="center"/>
                </w:tcPr>
                <w:p w14:paraId="175F54A4">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投入t/</w:t>
                  </w:r>
                  <w:r>
                    <w:rPr>
                      <w:rFonts w:hint="default" w:ascii="Times New Roman" w:hAnsi="Times New Roman" w:cs="Times New Roman"/>
                      <w:color w:val="auto"/>
                      <w:kern w:val="0"/>
                      <w:sz w:val="18"/>
                      <w:szCs w:val="18"/>
                      <w:highlight w:val="none"/>
                      <w:lang w:val="en-US" w:eastAsia="zh-CN"/>
                    </w:rPr>
                    <w:t>d</w:t>
                  </w:r>
                </w:p>
              </w:tc>
              <w:tc>
                <w:tcPr>
                  <w:tcW w:w="4212" w:type="dxa"/>
                  <w:gridSpan w:val="2"/>
                  <w:tcBorders>
                    <w:tl2br w:val="nil"/>
                    <w:tr2bl w:val="nil"/>
                  </w:tcBorders>
                  <w:noWrap w:val="0"/>
                  <w:vAlign w:val="center"/>
                </w:tcPr>
                <w:p w14:paraId="769A352B">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产出t/</w:t>
                  </w:r>
                  <w:r>
                    <w:rPr>
                      <w:rFonts w:hint="default" w:ascii="Times New Roman" w:hAnsi="Times New Roman" w:cs="Times New Roman"/>
                      <w:color w:val="auto"/>
                      <w:kern w:val="0"/>
                      <w:sz w:val="18"/>
                      <w:szCs w:val="18"/>
                      <w:highlight w:val="none"/>
                      <w:lang w:val="en-US" w:eastAsia="zh-CN"/>
                    </w:rPr>
                    <w:t>d</w:t>
                  </w:r>
                </w:p>
              </w:tc>
            </w:tr>
            <w:tr w14:paraId="554E8756">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noWrap w:val="0"/>
                  <w:vAlign w:val="center"/>
                </w:tcPr>
                <w:p w14:paraId="18ABDC03">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名称</w:t>
                  </w:r>
                </w:p>
              </w:tc>
              <w:tc>
                <w:tcPr>
                  <w:tcW w:w="1582" w:type="dxa"/>
                  <w:tcBorders>
                    <w:tl2br w:val="nil"/>
                    <w:tr2bl w:val="nil"/>
                  </w:tcBorders>
                  <w:noWrap w:val="0"/>
                  <w:vAlign w:val="center"/>
                </w:tcPr>
                <w:p w14:paraId="7DB5208B">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年用量</w:t>
                  </w:r>
                </w:p>
              </w:tc>
              <w:tc>
                <w:tcPr>
                  <w:tcW w:w="1969" w:type="dxa"/>
                  <w:tcBorders>
                    <w:tl2br w:val="nil"/>
                    <w:tr2bl w:val="nil"/>
                  </w:tcBorders>
                  <w:noWrap w:val="0"/>
                  <w:vAlign w:val="center"/>
                </w:tcPr>
                <w:p w14:paraId="74363D3E">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名称</w:t>
                  </w:r>
                </w:p>
              </w:tc>
              <w:tc>
                <w:tcPr>
                  <w:tcW w:w="2243" w:type="dxa"/>
                  <w:tcBorders>
                    <w:tl2br w:val="nil"/>
                    <w:tr2bl w:val="nil"/>
                  </w:tcBorders>
                  <w:noWrap w:val="0"/>
                  <w:vAlign w:val="center"/>
                </w:tcPr>
                <w:p w14:paraId="17B42116">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产出量</w:t>
                  </w:r>
                </w:p>
              </w:tc>
            </w:tr>
            <w:tr w14:paraId="32579A9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noWrap w:val="0"/>
                  <w:vAlign w:val="center"/>
                </w:tcPr>
                <w:p w14:paraId="226140B5">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鲜玉米</w:t>
                  </w:r>
                </w:p>
              </w:tc>
              <w:tc>
                <w:tcPr>
                  <w:tcW w:w="1582" w:type="dxa"/>
                  <w:tcBorders>
                    <w:tl2br w:val="nil"/>
                    <w:tr2bl w:val="nil"/>
                  </w:tcBorders>
                  <w:noWrap w:val="0"/>
                  <w:vAlign w:val="center"/>
                </w:tcPr>
                <w:p w14:paraId="1287827C">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56.25</w:t>
                  </w:r>
                </w:p>
              </w:tc>
              <w:tc>
                <w:tcPr>
                  <w:tcW w:w="1969" w:type="dxa"/>
                  <w:tcBorders>
                    <w:tl2br w:val="nil"/>
                    <w:tr2bl w:val="nil"/>
                  </w:tcBorders>
                  <w:noWrap w:val="0"/>
                  <w:vAlign w:val="center"/>
                </w:tcPr>
                <w:p w14:paraId="45CE1E8C">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速冻玉米</w:t>
                  </w:r>
                </w:p>
              </w:tc>
              <w:tc>
                <w:tcPr>
                  <w:tcW w:w="2243" w:type="dxa"/>
                  <w:tcBorders>
                    <w:tl2br w:val="nil"/>
                    <w:tr2bl w:val="nil"/>
                  </w:tcBorders>
                  <w:noWrap w:val="0"/>
                  <w:vAlign w:val="center"/>
                </w:tcPr>
                <w:p w14:paraId="31DBDED3">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37.5</w:t>
                  </w:r>
                </w:p>
              </w:tc>
            </w:tr>
            <w:tr w14:paraId="5D96914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shd w:val="clear" w:color="auto" w:fill="auto"/>
                  <w:noWrap w:val="0"/>
                  <w:vAlign w:val="center"/>
                </w:tcPr>
                <w:p w14:paraId="239A23F5">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葱</w:t>
                  </w:r>
                </w:p>
              </w:tc>
              <w:tc>
                <w:tcPr>
                  <w:tcW w:w="1582" w:type="dxa"/>
                  <w:tcBorders>
                    <w:tl2br w:val="nil"/>
                    <w:tr2bl w:val="nil"/>
                  </w:tcBorders>
                  <w:shd w:val="clear" w:color="auto" w:fill="auto"/>
                  <w:noWrap w:val="0"/>
                  <w:vAlign w:val="center"/>
                </w:tcPr>
                <w:p w14:paraId="4AE27B76">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0.25</w:t>
                  </w:r>
                </w:p>
              </w:tc>
              <w:tc>
                <w:tcPr>
                  <w:tcW w:w="1969" w:type="dxa"/>
                  <w:tcBorders>
                    <w:tl2br w:val="nil"/>
                    <w:tr2bl w:val="nil"/>
                  </w:tcBorders>
                  <w:noWrap w:val="0"/>
                  <w:vAlign w:val="top"/>
                </w:tcPr>
                <w:p w14:paraId="52E90A98">
                  <w:pPr>
                    <w:pStyle w:val="2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玉米饼</w:t>
                  </w:r>
                </w:p>
              </w:tc>
              <w:tc>
                <w:tcPr>
                  <w:tcW w:w="2243" w:type="dxa"/>
                  <w:tcBorders>
                    <w:tl2br w:val="nil"/>
                    <w:tr2bl w:val="nil"/>
                  </w:tcBorders>
                  <w:noWrap w:val="0"/>
                  <w:vAlign w:val="center"/>
                </w:tcPr>
                <w:p w14:paraId="63EC22FB">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10</w:t>
                  </w:r>
                </w:p>
              </w:tc>
            </w:tr>
            <w:tr w14:paraId="730BD86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shd w:val="clear" w:color="auto" w:fill="auto"/>
                  <w:noWrap w:val="0"/>
                  <w:vAlign w:val="center"/>
                </w:tcPr>
                <w:p w14:paraId="0E2E2FCC">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油</w:t>
                  </w:r>
                </w:p>
              </w:tc>
              <w:tc>
                <w:tcPr>
                  <w:tcW w:w="1582" w:type="dxa"/>
                  <w:tcBorders>
                    <w:tl2br w:val="nil"/>
                    <w:tr2bl w:val="nil"/>
                  </w:tcBorders>
                  <w:shd w:val="clear" w:color="auto" w:fill="auto"/>
                  <w:noWrap w:val="0"/>
                  <w:vAlign w:val="center"/>
                </w:tcPr>
                <w:p w14:paraId="7759B3F5">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0.125</w:t>
                  </w:r>
                </w:p>
              </w:tc>
              <w:tc>
                <w:tcPr>
                  <w:tcW w:w="1969" w:type="dxa"/>
                  <w:tcBorders>
                    <w:tl2br w:val="nil"/>
                    <w:tr2bl w:val="nil"/>
                  </w:tcBorders>
                  <w:shd w:val="clear" w:color="auto" w:fill="auto"/>
                  <w:noWrap w:val="0"/>
                  <w:vAlign w:val="center"/>
                </w:tcPr>
                <w:p w14:paraId="672E803E">
                  <w:pPr>
                    <w:widowControl/>
                    <w:shd w:val="clear" w:color="auto" w:fill="FFFFFF"/>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玉米苞叶、玉米穗丝</w:t>
                  </w:r>
                </w:p>
              </w:tc>
              <w:tc>
                <w:tcPr>
                  <w:tcW w:w="2243" w:type="dxa"/>
                  <w:tcBorders>
                    <w:tl2br w:val="nil"/>
                    <w:tr2bl w:val="nil"/>
                  </w:tcBorders>
                  <w:shd w:val="clear" w:color="auto" w:fill="auto"/>
                  <w:noWrap w:val="0"/>
                  <w:vAlign w:val="center"/>
                </w:tcPr>
                <w:p w14:paraId="3A63344C">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6.25</w:t>
                  </w:r>
                </w:p>
              </w:tc>
            </w:tr>
            <w:tr w14:paraId="22738FE0">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shd w:val="clear" w:color="auto" w:fill="auto"/>
                  <w:noWrap w:val="0"/>
                  <w:vAlign w:val="center"/>
                </w:tcPr>
                <w:p w14:paraId="586AD8F1">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盐</w:t>
                  </w:r>
                </w:p>
              </w:tc>
              <w:tc>
                <w:tcPr>
                  <w:tcW w:w="1582" w:type="dxa"/>
                  <w:tcBorders>
                    <w:tl2br w:val="nil"/>
                    <w:tr2bl w:val="nil"/>
                  </w:tcBorders>
                  <w:shd w:val="clear" w:color="auto" w:fill="auto"/>
                  <w:noWrap w:val="0"/>
                  <w:vAlign w:val="center"/>
                </w:tcPr>
                <w:p w14:paraId="100821B6">
                  <w:pPr>
                    <w:widowControl/>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0.125</w:t>
                  </w:r>
                </w:p>
              </w:tc>
              <w:tc>
                <w:tcPr>
                  <w:tcW w:w="1969" w:type="dxa"/>
                  <w:tcBorders>
                    <w:tl2br w:val="nil"/>
                    <w:tr2bl w:val="nil"/>
                  </w:tcBorders>
                  <w:shd w:val="clear" w:color="auto" w:fill="auto"/>
                  <w:noWrap w:val="0"/>
                  <w:vAlign w:val="center"/>
                </w:tcPr>
                <w:p w14:paraId="3F0B54E7">
                  <w:pPr>
                    <w:pStyle w:val="35"/>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sz w:val="18"/>
                      <w:szCs w:val="18"/>
                      <w:highlight w:val="none"/>
                      <w:lang w:eastAsia="zh-CN"/>
                    </w:rPr>
                    <w:t>旋风</w:t>
                  </w:r>
                  <w:r>
                    <w:rPr>
                      <w:rFonts w:hint="default" w:ascii="Times New Roman" w:hAnsi="Times New Roman" w:cs="Times New Roman"/>
                      <w:sz w:val="18"/>
                      <w:szCs w:val="18"/>
                      <w:highlight w:val="none"/>
                      <w:lang w:val="en-US" w:eastAsia="zh-CN"/>
                    </w:rPr>
                    <w:t>+</w:t>
                  </w:r>
                  <w:r>
                    <w:rPr>
                      <w:rFonts w:hint="default" w:ascii="Times New Roman" w:hAnsi="Times New Roman" w:cs="Times New Roman"/>
                      <w:sz w:val="18"/>
                      <w:szCs w:val="18"/>
                      <w:highlight w:val="none"/>
                    </w:rPr>
                    <w:t>布袋除尘器</w:t>
                  </w:r>
                  <w:r>
                    <w:rPr>
                      <w:rFonts w:hint="default" w:ascii="Times New Roman" w:hAnsi="Times New Roman" w:cs="Times New Roman"/>
                      <w:sz w:val="18"/>
                      <w:szCs w:val="18"/>
                      <w:highlight w:val="none"/>
                    </w:rPr>
                    <w:t>收尘</w:t>
                  </w:r>
                </w:p>
              </w:tc>
              <w:tc>
                <w:tcPr>
                  <w:tcW w:w="2243" w:type="dxa"/>
                  <w:tcBorders>
                    <w:tl2br w:val="nil"/>
                    <w:tr2bl w:val="nil"/>
                  </w:tcBorders>
                  <w:shd w:val="clear" w:color="auto" w:fill="auto"/>
                  <w:noWrap w:val="0"/>
                  <w:vAlign w:val="center"/>
                </w:tcPr>
                <w:p w14:paraId="0093DDF0">
                  <w:pPr>
                    <w:pStyle w:val="35"/>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0.44</w:t>
                  </w:r>
                </w:p>
              </w:tc>
            </w:tr>
            <w:tr w14:paraId="6B1AE43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noWrap w:val="0"/>
                  <w:vAlign w:val="center"/>
                </w:tcPr>
                <w:p w14:paraId="78989499">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t>
                  </w:r>
                </w:p>
              </w:tc>
              <w:tc>
                <w:tcPr>
                  <w:tcW w:w="1582" w:type="dxa"/>
                  <w:tcBorders>
                    <w:tl2br w:val="nil"/>
                    <w:tr2bl w:val="nil"/>
                  </w:tcBorders>
                  <w:noWrap w:val="0"/>
                  <w:vAlign w:val="center"/>
                </w:tcPr>
                <w:p w14:paraId="1970F875">
                  <w:pPr>
                    <w:widowControl/>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t>
                  </w:r>
                </w:p>
              </w:tc>
              <w:tc>
                <w:tcPr>
                  <w:tcW w:w="1969" w:type="dxa"/>
                  <w:tcBorders>
                    <w:tl2br w:val="nil"/>
                    <w:tr2bl w:val="nil"/>
                  </w:tcBorders>
                  <w:shd w:val="clear" w:color="auto" w:fill="auto"/>
                  <w:noWrap w:val="0"/>
                  <w:vAlign w:val="center"/>
                </w:tcPr>
                <w:p w14:paraId="4B794834">
                  <w:pPr>
                    <w:pStyle w:val="35"/>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eastAsia="宋体" w:cs="Times New Roman"/>
                      <w:kern w:val="0"/>
                      <w:sz w:val="18"/>
                      <w:szCs w:val="18"/>
                      <w:highlight w:val="none"/>
                      <w:lang w:val="en-US" w:eastAsia="zh-CN" w:bidi="ar-SA"/>
                    </w:rPr>
                    <w:t>蒸煮带出水</w:t>
                  </w:r>
                </w:p>
              </w:tc>
              <w:tc>
                <w:tcPr>
                  <w:tcW w:w="2243" w:type="dxa"/>
                  <w:tcBorders>
                    <w:tl2br w:val="nil"/>
                    <w:tr2bl w:val="nil"/>
                  </w:tcBorders>
                  <w:shd w:val="clear" w:color="auto" w:fill="auto"/>
                  <w:noWrap w:val="0"/>
                  <w:vAlign w:val="center"/>
                </w:tcPr>
                <w:p w14:paraId="6F8D5A60">
                  <w:pPr>
                    <w:pStyle w:val="35"/>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eastAsia="宋体" w:cs="Times New Roman"/>
                      <w:kern w:val="0"/>
                      <w:sz w:val="18"/>
                      <w:szCs w:val="18"/>
                      <w:highlight w:val="none"/>
                      <w:lang w:val="en-US" w:eastAsia="zh-CN" w:bidi="ar-SA"/>
                    </w:rPr>
                    <w:t>2.56</w:t>
                  </w:r>
                </w:p>
              </w:tc>
            </w:tr>
            <w:tr w14:paraId="4BB9A6C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43" w:hRule="atLeast"/>
                <w:jc w:val="center"/>
              </w:trPr>
              <w:tc>
                <w:tcPr>
                  <w:tcW w:w="2626" w:type="dxa"/>
                  <w:tcBorders>
                    <w:tl2br w:val="nil"/>
                    <w:tr2bl w:val="nil"/>
                  </w:tcBorders>
                  <w:noWrap w:val="0"/>
                  <w:vAlign w:val="center"/>
                </w:tcPr>
                <w:p w14:paraId="4FAC6808">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合计</w:t>
                  </w:r>
                </w:p>
              </w:tc>
              <w:tc>
                <w:tcPr>
                  <w:tcW w:w="1582" w:type="dxa"/>
                  <w:tcBorders>
                    <w:tl2br w:val="nil"/>
                    <w:tr2bl w:val="nil"/>
                  </w:tcBorders>
                  <w:noWrap w:val="0"/>
                  <w:vAlign w:val="center"/>
                </w:tcPr>
                <w:p w14:paraId="0E42783E">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56.75</w:t>
                  </w:r>
                </w:p>
              </w:tc>
              <w:tc>
                <w:tcPr>
                  <w:tcW w:w="1969" w:type="dxa"/>
                  <w:tcBorders>
                    <w:tl2br w:val="nil"/>
                    <w:tr2bl w:val="nil"/>
                  </w:tcBorders>
                  <w:noWrap w:val="0"/>
                  <w:vAlign w:val="center"/>
                </w:tcPr>
                <w:p w14:paraId="59E0D874">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合计</w:t>
                  </w:r>
                </w:p>
              </w:tc>
              <w:tc>
                <w:tcPr>
                  <w:tcW w:w="2243" w:type="dxa"/>
                  <w:tcBorders>
                    <w:tl2br w:val="nil"/>
                    <w:tr2bl w:val="nil"/>
                  </w:tcBorders>
                  <w:noWrap w:val="0"/>
                  <w:vAlign w:val="center"/>
                </w:tcPr>
                <w:p w14:paraId="2746BAD9">
                  <w:pPr>
                    <w:widowControl/>
                    <w:shd w:val="clear" w:color="auto" w:fill="FFFFFF"/>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56.75</w:t>
                  </w:r>
                </w:p>
              </w:tc>
            </w:tr>
          </w:tbl>
          <w:p w14:paraId="26901213">
            <w:pPr>
              <w:rPr>
                <w:rFonts w:hint="default" w:ascii="Times New Roman" w:hAnsi="Times New Roman" w:cs="Times New Roman"/>
                <w:highlight w:val="none"/>
                <w:lang w:val="en-US" w:eastAsia="zh-CN"/>
              </w:rPr>
            </w:pPr>
          </w:p>
          <w:p w14:paraId="22024488">
            <w:pPr>
              <w:pStyle w:val="9"/>
              <w:adjustRightInd w:val="0"/>
              <w:snapToGrid w:val="0"/>
              <w:spacing w:line="360" w:lineRule="auto"/>
              <w:ind w:left="0" w:leftChars="0" w:firstLine="420" w:firstLineChars="20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本项目冷库制冷原料为氟利昂R507，氟利昂R507的标准沸点为-46.7℃，与氟利昂R502的标准蒸发温度非常接近。</w:t>
            </w:r>
          </w:p>
          <w:p w14:paraId="121D19A9">
            <w:pPr>
              <w:spacing w:line="360" w:lineRule="auto"/>
              <w:ind w:firstLine="420" w:firstLineChars="20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氟利昂R507是用于替代氟利昂R502的环保制冷剂，氟利昂R507通常能比氟利昂R404A达到更低的温度。氟利昂R507适用于中低温的新型商用制冷设备(超市冷冻冷藏柜、冷库、陈列展示柜、运输)、制冰设备、交通运输制冷设备、船用制冷设备或更新设备，适用于所有氟利昂R502可正常运作的环境，</w:t>
            </w:r>
            <w:r>
              <w:rPr>
                <w:rFonts w:hint="default" w:ascii="Times New Roman" w:hAnsi="Times New Roman" w:eastAsia="宋体" w:cs="Times New Roman"/>
                <w:bCs/>
                <w:color w:val="auto"/>
                <w:kern w:val="2"/>
                <w:sz w:val="21"/>
                <w:szCs w:val="21"/>
                <w:highlight w:val="none"/>
                <w:lang w:val="en-US" w:eastAsia="zh-CN" w:bidi="ar-SA"/>
              </w:rPr>
              <w:t>不位于《中国受控消耗臭氧层物质清单》中。</w:t>
            </w:r>
          </w:p>
          <w:p w14:paraId="5CC4D306">
            <w:pPr>
              <w:spacing w:line="360" w:lineRule="auto"/>
              <w:ind w:firstLine="420" w:firstLineChars="20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氟利昂-R507相关物理化学性质见下表。</w:t>
            </w:r>
          </w:p>
          <w:p w14:paraId="066B02A7">
            <w:pPr>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表2-</w:t>
            </w:r>
            <w:r>
              <w:rPr>
                <w:rFonts w:hint="default" w:ascii="Times New Roman" w:hAnsi="Times New Roman" w:eastAsia="宋体" w:cs="Times New Roman"/>
                <w:b/>
                <w:bCs/>
                <w:color w:val="auto"/>
                <w:kern w:val="0"/>
                <w:szCs w:val="21"/>
                <w:highlight w:val="none"/>
                <w:lang w:val="en-US" w:eastAsia="zh-CN"/>
              </w:rPr>
              <w:t>4</w:t>
            </w:r>
            <w:r>
              <w:rPr>
                <w:rFonts w:hint="default" w:ascii="Times New Roman" w:hAnsi="Times New Roman" w:eastAsia="宋体" w:cs="Times New Roman"/>
                <w:b/>
                <w:bCs/>
                <w:color w:val="auto"/>
                <w:kern w:val="0"/>
                <w:szCs w:val="21"/>
                <w:highlight w:val="none"/>
              </w:rPr>
              <w:t xml:space="preserve"> 氟利昂-R507 物理化学性质一览表</w:t>
            </w:r>
          </w:p>
          <w:tbl>
            <w:tblPr>
              <w:tblStyle w:val="13"/>
              <w:tblW w:w="79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80"/>
              <w:gridCol w:w="3980"/>
            </w:tblGrid>
            <w:tr w14:paraId="5D34F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6D756AA1">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冷媒名称</w:t>
                  </w:r>
                </w:p>
              </w:tc>
              <w:tc>
                <w:tcPr>
                  <w:tcW w:w="3980" w:type="dxa"/>
                  <w:tcBorders>
                    <w:tl2br w:val="nil"/>
                    <w:tr2bl w:val="nil"/>
                  </w:tcBorders>
                  <w:noWrap w:val="0"/>
                  <w:vAlign w:val="center"/>
                </w:tcPr>
                <w:p w14:paraId="1612B5C7">
                  <w:pPr>
                    <w:pStyle w:val="9"/>
                    <w:ind w:left="0" w:leftChars="0"/>
                    <w:jc w:val="center"/>
                    <w:rPr>
                      <w:rFonts w:hint="default" w:ascii="Times New Roman" w:hAnsi="Times New Roman" w:cs="Times New Roman"/>
                      <w:color w:val="333333"/>
                      <w:kern w:val="0"/>
                      <w:sz w:val="21"/>
                      <w:szCs w:val="21"/>
                      <w:highlight w:val="none"/>
                      <w:lang w:bidi="ar"/>
                    </w:rPr>
                  </w:pPr>
                  <w:r>
                    <w:rPr>
                      <w:rFonts w:hint="default" w:ascii="Times New Roman" w:hAnsi="Times New Roman" w:cs="Times New Roman"/>
                      <w:sz w:val="21"/>
                      <w:szCs w:val="21"/>
                      <w:highlight w:val="none"/>
                    </w:rPr>
                    <w:t>氟利昂-R507</w:t>
                  </w:r>
                </w:p>
              </w:tc>
            </w:tr>
            <w:tr w14:paraId="59011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2462F349">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分子量</w:t>
                  </w:r>
                </w:p>
              </w:tc>
              <w:tc>
                <w:tcPr>
                  <w:tcW w:w="3980" w:type="dxa"/>
                  <w:tcBorders>
                    <w:tl2br w:val="nil"/>
                    <w:tr2bl w:val="nil"/>
                  </w:tcBorders>
                  <w:noWrap w:val="0"/>
                  <w:vAlign w:val="center"/>
                </w:tcPr>
                <w:p w14:paraId="069C5A0A">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98.9</w:t>
                  </w:r>
                </w:p>
              </w:tc>
            </w:tr>
            <w:tr w14:paraId="054E4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626D397E">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沸点(℃)</w:t>
                  </w:r>
                </w:p>
              </w:tc>
              <w:tc>
                <w:tcPr>
                  <w:tcW w:w="3980" w:type="dxa"/>
                  <w:tcBorders>
                    <w:tl2br w:val="nil"/>
                    <w:tr2bl w:val="nil"/>
                  </w:tcBorders>
                  <w:noWrap w:val="0"/>
                  <w:vAlign w:val="center"/>
                </w:tcPr>
                <w:p w14:paraId="68618F42">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-46.75</w:t>
                  </w:r>
                </w:p>
              </w:tc>
            </w:tr>
            <w:tr w14:paraId="516D8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0CF00A66">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冰点(℃)</w:t>
                  </w:r>
                </w:p>
              </w:tc>
              <w:tc>
                <w:tcPr>
                  <w:tcW w:w="3980" w:type="dxa"/>
                  <w:tcBorders>
                    <w:tl2br w:val="nil"/>
                    <w:tr2bl w:val="nil"/>
                  </w:tcBorders>
                  <w:noWrap w:val="0"/>
                  <w:vAlign w:val="center"/>
                </w:tcPr>
                <w:p w14:paraId="16A815D3">
                  <w:pPr>
                    <w:widowControl/>
                    <w:jc w:val="center"/>
                    <w:textAlignment w:val="center"/>
                    <w:rPr>
                      <w:rFonts w:hint="default" w:ascii="Times New Roman" w:hAnsi="Times New Roman" w:cs="Times New Roman"/>
                      <w:sz w:val="21"/>
                      <w:szCs w:val="21"/>
                      <w:highlight w:val="none"/>
                    </w:rPr>
                  </w:pPr>
                  <w:r>
                    <w:rPr>
                      <w:rStyle w:val="22"/>
                      <w:rFonts w:hint="default" w:ascii="Times New Roman" w:hAnsi="Times New Roman" w:cs="Times New Roman"/>
                      <w:sz w:val="21"/>
                      <w:szCs w:val="21"/>
                      <w:highlight w:val="none"/>
                      <w:lang w:bidi="ar"/>
                    </w:rPr>
                    <w:t>-</w:t>
                  </w:r>
                </w:p>
              </w:tc>
            </w:tr>
            <w:tr w14:paraId="30DBE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0C9AF18C">
                  <w:pPr>
                    <w:widowControl/>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sz w:val="21"/>
                      <w:szCs w:val="21"/>
                      <w:highlight w:val="none"/>
                      <w:lang w:bidi="ar"/>
                    </w:rPr>
                    <w:t>液体密度(25℃)</w:t>
                  </w:r>
                </w:p>
              </w:tc>
              <w:tc>
                <w:tcPr>
                  <w:tcW w:w="3980" w:type="dxa"/>
                  <w:tcBorders>
                    <w:tl2br w:val="nil"/>
                    <w:tr2bl w:val="nil"/>
                  </w:tcBorders>
                  <w:noWrap w:val="0"/>
                  <w:vAlign w:val="center"/>
                </w:tcPr>
                <w:p w14:paraId="2F7F1956">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1047.9</w:t>
                  </w:r>
                </w:p>
              </w:tc>
            </w:tr>
            <w:tr w14:paraId="44BE8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13BCED6F">
                  <w:pPr>
                    <w:widowControl/>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sz w:val="21"/>
                      <w:szCs w:val="21"/>
                      <w:highlight w:val="none"/>
                      <w:lang w:bidi="ar"/>
                    </w:rPr>
                    <w:t>临界温度(℃)</w:t>
                  </w:r>
                </w:p>
              </w:tc>
              <w:tc>
                <w:tcPr>
                  <w:tcW w:w="3980" w:type="dxa"/>
                  <w:tcBorders>
                    <w:tl2br w:val="nil"/>
                    <w:tr2bl w:val="nil"/>
                  </w:tcBorders>
                  <w:noWrap w:val="0"/>
                  <w:vAlign w:val="center"/>
                </w:tcPr>
                <w:p w14:paraId="76A0B71D">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70.62</w:t>
                  </w:r>
                </w:p>
              </w:tc>
            </w:tr>
            <w:tr w14:paraId="7F0BF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203478F6">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fldChar w:fldCharType="begin"/>
                  </w:r>
                  <w:r>
                    <w:rPr>
                      <w:rFonts w:hint="default" w:ascii="Times New Roman" w:hAnsi="Times New Roman" w:cs="Times New Roman"/>
                      <w:kern w:val="0"/>
                      <w:sz w:val="21"/>
                      <w:szCs w:val="21"/>
                      <w:highlight w:val="none"/>
                      <w:lang w:bidi="ar"/>
                    </w:rPr>
                    <w:instrText xml:space="preserve"> HYPERLINK "https://baike.so.com/doc/6743682-6958213.html" \o "https://baike.so.com/doc/6743682-6958213.html" </w:instrText>
                  </w:r>
                  <w:r>
                    <w:rPr>
                      <w:rFonts w:hint="default" w:ascii="Times New Roman" w:hAnsi="Times New Roman" w:cs="Times New Roman"/>
                      <w:kern w:val="0"/>
                      <w:sz w:val="21"/>
                      <w:szCs w:val="21"/>
                      <w:highlight w:val="none"/>
                      <w:lang w:bidi="ar"/>
                    </w:rPr>
                    <w:fldChar w:fldCharType="separate"/>
                  </w:r>
                  <w:r>
                    <w:rPr>
                      <w:rStyle w:val="16"/>
                      <w:rFonts w:hint="default" w:ascii="Times New Roman" w:hAnsi="Times New Roman" w:cs="Times New Roman"/>
                      <w:color w:val="auto"/>
                      <w:sz w:val="21"/>
                      <w:szCs w:val="21"/>
                      <w:highlight w:val="none"/>
                    </w:rPr>
                    <w:t>临界压力(kPa)</w:t>
                  </w:r>
                  <w:r>
                    <w:rPr>
                      <w:rFonts w:hint="default" w:ascii="Times New Roman" w:hAnsi="Times New Roman" w:cs="Times New Roman"/>
                      <w:kern w:val="0"/>
                      <w:sz w:val="21"/>
                      <w:szCs w:val="21"/>
                      <w:highlight w:val="none"/>
                      <w:lang w:bidi="ar"/>
                    </w:rPr>
                    <w:fldChar w:fldCharType="end"/>
                  </w:r>
                </w:p>
              </w:tc>
              <w:tc>
                <w:tcPr>
                  <w:tcW w:w="3980" w:type="dxa"/>
                  <w:tcBorders>
                    <w:tl2br w:val="nil"/>
                    <w:tr2bl w:val="nil"/>
                  </w:tcBorders>
                  <w:noWrap w:val="0"/>
                  <w:vAlign w:val="center"/>
                </w:tcPr>
                <w:p w14:paraId="6BCE7856">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3792.1</w:t>
                  </w:r>
                </w:p>
              </w:tc>
            </w:tr>
            <w:tr w14:paraId="2FBB6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38C55DBB">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fldChar w:fldCharType="begin"/>
                  </w:r>
                  <w:r>
                    <w:rPr>
                      <w:rFonts w:hint="default" w:ascii="Times New Roman" w:hAnsi="Times New Roman" w:cs="Times New Roman"/>
                      <w:kern w:val="0"/>
                      <w:sz w:val="21"/>
                      <w:szCs w:val="21"/>
                      <w:highlight w:val="none"/>
                      <w:lang w:bidi="ar"/>
                    </w:rPr>
                    <w:instrText xml:space="preserve"> HYPERLINK "https://baike.so.com/doc/6613102-6826895.html" \o "https://baike.so.com/doc/6613102-6826895.html" </w:instrText>
                  </w:r>
                  <w:r>
                    <w:rPr>
                      <w:rFonts w:hint="default" w:ascii="Times New Roman" w:hAnsi="Times New Roman" w:cs="Times New Roman"/>
                      <w:kern w:val="0"/>
                      <w:sz w:val="21"/>
                      <w:szCs w:val="21"/>
                      <w:highlight w:val="none"/>
                      <w:lang w:bidi="ar"/>
                    </w:rPr>
                    <w:fldChar w:fldCharType="separate"/>
                  </w:r>
                  <w:r>
                    <w:rPr>
                      <w:rStyle w:val="16"/>
                      <w:rFonts w:hint="default" w:ascii="Times New Roman" w:hAnsi="Times New Roman" w:cs="Times New Roman"/>
                      <w:color w:val="auto"/>
                      <w:sz w:val="21"/>
                      <w:szCs w:val="21"/>
                      <w:highlight w:val="none"/>
                    </w:rPr>
                    <w:t>临界密度 (kg/m</w:t>
                  </w:r>
                  <w:r>
                    <w:rPr>
                      <w:rStyle w:val="16"/>
                      <w:rFonts w:hint="default" w:ascii="Times New Roman" w:hAnsi="Times New Roman" w:cs="Times New Roman"/>
                      <w:color w:val="auto"/>
                      <w:sz w:val="21"/>
                      <w:szCs w:val="21"/>
                      <w:highlight w:val="none"/>
                      <w:vertAlign w:val="superscript"/>
                    </w:rPr>
                    <w:t>3</w:t>
                  </w:r>
                  <w:r>
                    <w:rPr>
                      <w:rStyle w:val="16"/>
                      <w:rFonts w:hint="default" w:ascii="Times New Roman" w:hAnsi="Times New Roman" w:cs="Times New Roman"/>
                      <w:color w:val="auto"/>
                      <w:sz w:val="21"/>
                      <w:szCs w:val="21"/>
                      <w:highlight w:val="none"/>
                    </w:rPr>
                    <w:t>)</w:t>
                  </w:r>
                  <w:r>
                    <w:rPr>
                      <w:rFonts w:hint="default" w:ascii="Times New Roman" w:hAnsi="Times New Roman" w:cs="Times New Roman"/>
                      <w:kern w:val="0"/>
                      <w:sz w:val="21"/>
                      <w:szCs w:val="21"/>
                      <w:highlight w:val="none"/>
                      <w:lang w:bidi="ar"/>
                    </w:rPr>
                    <w:fldChar w:fldCharType="end"/>
                  </w:r>
                </w:p>
              </w:tc>
              <w:tc>
                <w:tcPr>
                  <w:tcW w:w="3980" w:type="dxa"/>
                  <w:tcBorders>
                    <w:tl2br w:val="nil"/>
                    <w:tr2bl w:val="nil"/>
                  </w:tcBorders>
                  <w:noWrap w:val="0"/>
                  <w:vAlign w:val="center"/>
                </w:tcPr>
                <w:p w14:paraId="47FFDF24">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490.77</w:t>
                  </w:r>
                </w:p>
              </w:tc>
            </w:tr>
            <w:tr w14:paraId="76D72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79FCAF2C">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0"/>
                      <w:sz w:val="21"/>
                      <w:szCs w:val="21"/>
                      <w:highlight w:val="none"/>
                      <w:lang w:bidi="ar"/>
                    </w:rPr>
                    <w:fldChar w:fldCharType="begin"/>
                  </w:r>
                  <w:r>
                    <w:rPr>
                      <w:rFonts w:hint="default" w:ascii="Times New Roman" w:hAnsi="Times New Roman" w:cs="Times New Roman"/>
                      <w:kern w:val="0"/>
                      <w:sz w:val="21"/>
                      <w:szCs w:val="21"/>
                      <w:highlight w:val="none"/>
                      <w:lang w:bidi="ar"/>
                    </w:rPr>
                    <w:instrText xml:space="preserve"> HYPERLINK "https://baike.so.com/doc/1949058-2062379.html" \o "https://baike.so.com/doc/1949058-2062379.html" </w:instrText>
                  </w:r>
                  <w:r>
                    <w:rPr>
                      <w:rFonts w:hint="default" w:ascii="Times New Roman" w:hAnsi="Times New Roman" w:cs="Times New Roman"/>
                      <w:kern w:val="0"/>
                      <w:sz w:val="21"/>
                      <w:szCs w:val="21"/>
                      <w:highlight w:val="none"/>
                      <w:lang w:bidi="ar"/>
                    </w:rPr>
                    <w:fldChar w:fldCharType="separate"/>
                  </w:r>
                  <w:r>
                    <w:rPr>
                      <w:rStyle w:val="16"/>
                      <w:rFonts w:hint="default" w:ascii="Times New Roman" w:hAnsi="Times New Roman" w:cs="Times New Roman"/>
                      <w:color w:val="auto"/>
                      <w:sz w:val="21"/>
                      <w:szCs w:val="21"/>
                      <w:highlight w:val="none"/>
                    </w:rPr>
                    <w:t>饱和液体密度 30℃(kg/m</w:t>
                  </w:r>
                  <w:r>
                    <w:rPr>
                      <w:rStyle w:val="16"/>
                      <w:rFonts w:hint="default" w:ascii="Times New Roman" w:hAnsi="Times New Roman" w:cs="Times New Roman"/>
                      <w:color w:val="auto"/>
                      <w:sz w:val="21"/>
                      <w:szCs w:val="21"/>
                      <w:highlight w:val="none"/>
                      <w:vertAlign w:val="superscript"/>
                    </w:rPr>
                    <w:t>3</w:t>
                  </w:r>
                  <w:r>
                    <w:rPr>
                      <w:rStyle w:val="16"/>
                      <w:rFonts w:hint="default" w:ascii="Times New Roman" w:hAnsi="Times New Roman" w:cs="Times New Roman"/>
                      <w:color w:val="auto"/>
                      <w:sz w:val="21"/>
                      <w:szCs w:val="21"/>
                      <w:highlight w:val="none"/>
                    </w:rPr>
                    <w:t>)</w:t>
                  </w:r>
                  <w:r>
                    <w:rPr>
                      <w:rFonts w:hint="default" w:ascii="Times New Roman" w:hAnsi="Times New Roman" w:cs="Times New Roman"/>
                      <w:kern w:val="0"/>
                      <w:sz w:val="21"/>
                      <w:szCs w:val="21"/>
                      <w:highlight w:val="none"/>
                      <w:lang w:bidi="ar"/>
                    </w:rPr>
                    <w:fldChar w:fldCharType="end"/>
                  </w:r>
                </w:p>
              </w:tc>
              <w:tc>
                <w:tcPr>
                  <w:tcW w:w="3980" w:type="dxa"/>
                  <w:tcBorders>
                    <w:tl2br w:val="nil"/>
                    <w:tr2bl w:val="nil"/>
                  </w:tcBorders>
                  <w:noWrap w:val="0"/>
                  <w:vAlign w:val="center"/>
                </w:tcPr>
                <w:p w14:paraId="15B57DF5">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1021.9</w:t>
                  </w:r>
                </w:p>
              </w:tc>
            </w:tr>
            <w:tr w14:paraId="54277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269292B8">
                  <w:pPr>
                    <w:widowControl/>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color w:val="auto"/>
                      <w:sz w:val="21"/>
                      <w:szCs w:val="21"/>
                      <w:highlight w:val="none"/>
                      <w:lang w:bidi="ar"/>
                    </w:rPr>
                    <w:t>液体比热 30℃ [KJ/(Kg·K)]</w:t>
                  </w:r>
                </w:p>
              </w:tc>
              <w:tc>
                <w:tcPr>
                  <w:tcW w:w="3980" w:type="dxa"/>
                  <w:tcBorders>
                    <w:tl2br w:val="nil"/>
                    <w:tr2bl w:val="nil"/>
                  </w:tcBorders>
                  <w:noWrap w:val="0"/>
                  <w:vAlign w:val="center"/>
                </w:tcPr>
                <w:p w14:paraId="1E268C82">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1.47</w:t>
                  </w:r>
                </w:p>
              </w:tc>
            </w:tr>
            <w:tr w14:paraId="6E73E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316A3AAA">
                  <w:pPr>
                    <w:widowControl/>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sz w:val="21"/>
                      <w:szCs w:val="21"/>
                      <w:highlight w:val="none"/>
                      <w:lang w:bidi="ar"/>
                    </w:rPr>
                    <w:t>溶解度(水中，25℃)%</w:t>
                  </w:r>
                </w:p>
              </w:tc>
              <w:tc>
                <w:tcPr>
                  <w:tcW w:w="3980" w:type="dxa"/>
                  <w:tcBorders>
                    <w:tl2br w:val="nil"/>
                    <w:tr2bl w:val="nil"/>
                  </w:tcBorders>
                  <w:noWrap w:val="0"/>
                  <w:vAlign w:val="center"/>
                </w:tcPr>
                <w:p w14:paraId="5645CDBA">
                  <w:pPr>
                    <w:widowControl/>
                    <w:jc w:val="center"/>
                    <w:textAlignment w:val="center"/>
                    <w:rPr>
                      <w:rFonts w:hint="default" w:ascii="Times New Roman" w:hAnsi="Times New Roman" w:cs="Times New Roman"/>
                      <w:sz w:val="21"/>
                      <w:szCs w:val="21"/>
                      <w:highlight w:val="none"/>
                    </w:rPr>
                  </w:pPr>
                  <w:r>
                    <w:rPr>
                      <w:rStyle w:val="22"/>
                      <w:rFonts w:hint="default" w:ascii="Times New Roman" w:hAnsi="Times New Roman" w:cs="Times New Roman"/>
                      <w:sz w:val="21"/>
                      <w:szCs w:val="21"/>
                      <w:highlight w:val="none"/>
                      <w:lang w:bidi="ar"/>
                    </w:rPr>
                    <w:t>-</w:t>
                  </w:r>
                </w:p>
              </w:tc>
            </w:tr>
            <w:tr w14:paraId="6E7C1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189D6FF2">
                  <w:pPr>
                    <w:widowControl/>
                    <w:jc w:val="center"/>
                    <w:textAlignment w:val="center"/>
                    <w:rPr>
                      <w:rFonts w:hint="default" w:ascii="Times New Roman" w:hAnsi="Times New Roman" w:cs="Times New Roman"/>
                      <w:b/>
                      <w:bCs/>
                      <w:sz w:val="21"/>
                      <w:szCs w:val="21"/>
                      <w:highlight w:val="none"/>
                    </w:rPr>
                  </w:pPr>
                  <w:r>
                    <w:rPr>
                      <w:rStyle w:val="23"/>
                      <w:rFonts w:hint="default" w:ascii="Times New Roman" w:hAnsi="Times New Roman" w:cs="Times New Roman"/>
                      <w:b/>
                      <w:bCs/>
                      <w:sz w:val="21"/>
                      <w:szCs w:val="21"/>
                      <w:highlight w:val="none"/>
                      <w:lang w:bidi="ar"/>
                    </w:rPr>
                    <w:t>破坏臭氧潜能值(ODP)</w:t>
                  </w:r>
                </w:p>
              </w:tc>
              <w:tc>
                <w:tcPr>
                  <w:tcW w:w="3980" w:type="dxa"/>
                  <w:tcBorders>
                    <w:tl2br w:val="nil"/>
                    <w:tr2bl w:val="nil"/>
                  </w:tcBorders>
                  <w:noWrap w:val="0"/>
                  <w:vAlign w:val="center"/>
                </w:tcPr>
                <w:p w14:paraId="7D1C9BBF">
                  <w:pPr>
                    <w:widowControl/>
                    <w:jc w:val="center"/>
                    <w:textAlignment w:val="center"/>
                    <w:rPr>
                      <w:rFonts w:hint="default" w:ascii="Times New Roman" w:hAnsi="Times New Roman" w:cs="Times New Roman"/>
                      <w:b/>
                      <w:bCs/>
                      <w:sz w:val="21"/>
                      <w:szCs w:val="21"/>
                      <w:highlight w:val="none"/>
                    </w:rPr>
                  </w:pPr>
                  <w:r>
                    <w:rPr>
                      <w:rFonts w:hint="default" w:ascii="Times New Roman" w:hAnsi="Times New Roman" w:cs="Times New Roman"/>
                      <w:b/>
                      <w:bCs/>
                      <w:color w:val="333333"/>
                      <w:kern w:val="0"/>
                      <w:sz w:val="21"/>
                      <w:szCs w:val="21"/>
                      <w:highlight w:val="none"/>
                      <w:lang w:bidi="ar"/>
                    </w:rPr>
                    <w:t>0</w:t>
                  </w:r>
                </w:p>
              </w:tc>
            </w:tr>
            <w:tr w14:paraId="6362A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7503C955">
                  <w:pPr>
                    <w:widowControl/>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sz w:val="21"/>
                      <w:szCs w:val="21"/>
                      <w:highlight w:val="none"/>
                      <w:lang w:bidi="ar"/>
                    </w:rPr>
                    <w:t>全球变暖系数值(GWP)(CO</w:t>
                  </w:r>
                  <w:r>
                    <w:rPr>
                      <w:rStyle w:val="23"/>
                      <w:rFonts w:hint="default" w:ascii="Times New Roman" w:hAnsi="Times New Roman" w:cs="Times New Roman"/>
                      <w:sz w:val="21"/>
                      <w:szCs w:val="21"/>
                      <w:highlight w:val="none"/>
                      <w:vertAlign w:val="subscript"/>
                      <w:lang w:bidi="ar"/>
                    </w:rPr>
                    <w:t>2</w:t>
                  </w:r>
                  <w:r>
                    <w:rPr>
                      <w:rStyle w:val="23"/>
                      <w:rFonts w:hint="default" w:ascii="Times New Roman" w:hAnsi="Times New Roman" w:cs="Times New Roman"/>
                      <w:sz w:val="21"/>
                      <w:szCs w:val="21"/>
                      <w:highlight w:val="none"/>
                      <w:lang w:bidi="ar"/>
                    </w:rPr>
                    <w:t>=1)</w:t>
                  </w:r>
                </w:p>
              </w:tc>
              <w:tc>
                <w:tcPr>
                  <w:tcW w:w="3980" w:type="dxa"/>
                  <w:tcBorders>
                    <w:tl2br w:val="nil"/>
                    <w:tr2bl w:val="nil"/>
                  </w:tcBorders>
                  <w:noWrap w:val="0"/>
                  <w:vAlign w:val="center"/>
                </w:tcPr>
                <w:p w14:paraId="7E799A39">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3985</w:t>
                  </w:r>
                </w:p>
              </w:tc>
            </w:tr>
            <w:tr w14:paraId="45B61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80" w:type="dxa"/>
                  <w:tcBorders>
                    <w:tl2br w:val="nil"/>
                    <w:tr2bl w:val="nil"/>
                  </w:tcBorders>
                  <w:noWrap w:val="0"/>
                  <w:vAlign w:val="center"/>
                </w:tcPr>
                <w:p w14:paraId="5D154912">
                  <w:pPr>
                    <w:widowControl/>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sz w:val="21"/>
                      <w:szCs w:val="21"/>
                      <w:highlight w:val="none"/>
                      <w:lang w:bidi="ar"/>
                    </w:rPr>
                    <w:t>沸点下饱和气体密度(kg/m</w:t>
                  </w:r>
                  <w:r>
                    <w:rPr>
                      <w:rStyle w:val="23"/>
                      <w:rFonts w:hint="default" w:ascii="Times New Roman" w:hAnsi="Times New Roman" w:cs="Times New Roman"/>
                      <w:sz w:val="21"/>
                      <w:szCs w:val="21"/>
                      <w:highlight w:val="none"/>
                      <w:vertAlign w:val="superscript"/>
                      <w:lang w:bidi="ar"/>
                    </w:rPr>
                    <w:t>3</w:t>
                  </w:r>
                  <w:r>
                    <w:rPr>
                      <w:rStyle w:val="23"/>
                      <w:rFonts w:hint="default" w:ascii="Times New Roman" w:hAnsi="Times New Roman" w:cs="Times New Roman"/>
                      <w:sz w:val="21"/>
                      <w:szCs w:val="21"/>
                      <w:highlight w:val="none"/>
                      <w:lang w:bidi="ar"/>
                    </w:rPr>
                    <w:t>)</w:t>
                  </w:r>
                </w:p>
              </w:tc>
              <w:tc>
                <w:tcPr>
                  <w:tcW w:w="3980" w:type="dxa"/>
                  <w:tcBorders>
                    <w:tl2br w:val="nil"/>
                    <w:tr2bl w:val="nil"/>
                  </w:tcBorders>
                  <w:noWrap w:val="0"/>
                  <w:vAlign w:val="center"/>
                </w:tcPr>
                <w:p w14:paraId="632DF5DC">
                  <w:pPr>
                    <w:widowControl/>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5.585</w:t>
                  </w:r>
                </w:p>
              </w:tc>
            </w:tr>
            <w:tr w14:paraId="374357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980" w:type="dxa"/>
                  <w:tcBorders>
                    <w:tl2br w:val="nil"/>
                    <w:tr2bl w:val="nil"/>
                  </w:tcBorders>
                  <w:noWrap w:val="0"/>
                  <w:vAlign w:val="center"/>
                </w:tcPr>
                <w:p w14:paraId="64D80463">
                  <w:pPr>
                    <w:widowControl/>
                    <w:spacing w:line="360" w:lineRule="auto"/>
                    <w:jc w:val="center"/>
                    <w:textAlignment w:val="center"/>
                    <w:rPr>
                      <w:rFonts w:hint="default" w:ascii="Times New Roman" w:hAnsi="Times New Roman" w:cs="Times New Roman"/>
                      <w:sz w:val="21"/>
                      <w:szCs w:val="21"/>
                      <w:highlight w:val="none"/>
                    </w:rPr>
                  </w:pPr>
                  <w:r>
                    <w:rPr>
                      <w:rStyle w:val="23"/>
                      <w:rFonts w:hint="default" w:ascii="Times New Roman" w:hAnsi="Times New Roman" w:cs="Times New Roman"/>
                      <w:sz w:val="21"/>
                      <w:szCs w:val="21"/>
                      <w:highlight w:val="none"/>
                      <w:lang w:bidi="ar"/>
                    </w:rPr>
                    <w:t>沸点下蒸发潜能(KJ/Kg)</w:t>
                  </w:r>
                </w:p>
              </w:tc>
              <w:tc>
                <w:tcPr>
                  <w:tcW w:w="3980" w:type="dxa"/>
                  <w:tcBorders>
                    <w:tl2br w:val="nil"/>
                    <w:tr2bl w:val="nil"/>
                  </w:tcBorders>
                  <w:noWrap w:val="0"/>
                  <w:vAlign w:val="center"/>
                </w:tcPr>
                <w:p w14:paraId="27F6D738">
                  <w:pPr>
                    <w:widowControl/>
                    <w:spacing w:line="360" w:lineRule="auto"/>
                    <w:jc w:val="center"/>
                    <w:textAlignment w:val="center"/>
                    <w:rPr>
                      <w:rFonts w:hint="default" w:ascii="Times New Roman" w:hAnsi="Times New Roman" w:cs="Times New Roman"/>
                      <w:sz w:val="21"/>
                      <w:szCs w:val="21"/>
                      <w:highlight w:val="none"/>
                    </w:rPr>
                  </w:pPr>
                  <w:r>
                    <w:rPr>
                      <w:rFonts w:hint="default" w:ascii="Times New Roman" w:hAnsi="Times New Roman" w:cs="Times New Roman"/>
                      <w:color w:val="333333"/>
                      <w:kern w:val="0"/>
                      <w:sz w:val="21"/>
                      <w:szCs w:val="21"/>
                      <w:highlight w:val="none"/>
                      <w:lang w:bidi="ar"/>
                    </w:rPr>
                    <w:t>196.94</w:t>
                  </w:r>
                </w:p>
              </w:tc>
            </w:tr>
          </w:tbl>
          <w:p w14:paraId="36C6B067">
            <w:pPr>
              <w:adjustRightInd w:val="0"/>
              <w:snapToGrid w:val="0"/>
              <w:ind w:firstLine="422" w:firstLineChars="200"/>
              <w:rPr>
                <w:rFonts w:hint="default" w:ascii="Times New Roman" w:hAnsi="Times New Roman" w:cs="Times New Roman"/>
                <w:b/>
                <w:color w:val="auto"/>
                <w:szCs w:val="21"/>
                <w:highlight w:val="none"/>
              </w:rPr>
            </w:pPr>
          </w:p>
          <w:p w14:paraId="4E323788">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、劳动定员及工作制度</w:t>
            </w:r>
          </w:p>
          <w:p w14:paraId="40C30ACB">
            <w:pPr>
              <w:adjustRightInd w:val="0"/>
              <w:snapToGrid w:val="0"/>
              <w:spacing w:line="360" w:lineRule="auto"/>
              <w:ind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eastAsia="zh-CN"/>
              </w:rPr>
              <w:t>本</w:t>
            </w:r>
            <w:r>
              <w:rPr>
                <w:rFonts w:hint="default" w:ascii="Times New Roman" w:hAnsi="Times New Roman" w:cs="Times New Roman"/>
                <w:bCs/>
                <w:color w:val="auto"/>
                <w:sz w:val="21"/>
                <w:szCs w:val="21"/>
                <w:highlight w:val="none"/>
              </w:rPr>
              <w:t>项目</w:t>
            </w:r>
            <w:r>
              <w:rPr>
                <w:rFonts w:hint="default" w:ascii="Times New Roman" w:hAnsi="Times New Roman" w:cs="Times New Roman"/>
                <w:bCs/>
                <w:color w:val="auto"/>
                <w:sz w:val="21"/>
                <w:szCs w:val="21"/>
                <w:highlight w:val="none"/>
                <w:lang w:eastAsia="zh-CN"/>
              </w:rPr>
              <w:t>员工</w:t>
            </w:r>
            <w:r>
              <w:rPr>
                <w:rFonts w:hint="default" w:ascii="Times New Roman" w:hAnsi="Times New Roman" w:cs="Times New Roman"/>
                <w:bCs/>
                <w:color w:val="auto"/>
                <w:sz w:val="21"/>
                <w:szCs w:val="21"/>
                <w:highlight w:val="none"/>
                <w:lang w:val="en-US" w:eastAsia="zh-CN"/>
              </w:rPr>
              <w:t>50人</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每年8月20日-9月3</w:t>
            </w:r>
            <w:r>
              <w:rPr>
                <w:rFonts w:hint="default" w:ascii="Times New Roman" w:hAnsi="Times New Roman"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rPr>
              <w:t>日</w:t>
            </w:r>
            <w:r>
              <w:rPr>
                <w:rFonts w:hint="default" w:ascii="Times New Roman" w:hAnsi="Times New Roman" w:cs="Times New Roman"/>
                <w:bCs/>
                <w:color w:val="auto"/>
                <w:sz w:val="21"/>
                <w:szCs w:val="21"/>
                <w:highlight w:val="none"/>
                <w:lang w:eastAsia="zh-CN"/>
              </w:rPr>
              <w:t>供热</w:t>
            </w:r>
            <w:r>
              <w:rPr>
                <w:rFonts w:hint="default" w:ascii="Times New Roman" w:hAnsi="Times New Roman" w:cs="Times New Roman"/>
                <w:bCs/>
                <w:color w:val="auto"/>
                <w:sz w:val="21"/>
                <w:szCs w:val="21"/>
                <w:highlight w:val="none"/>
              </w:rPr>
              <w:t>，</w:t>
            </w:r>
            <w:r>
              <w:rPr>
                <w:rFonts w:hint="default" w:ascii="Times New Roman" w:hAnsi="Times New Roman" w:cs="Times New Roman"/>
                <w:bCs/>
                <w:color w:val="auto"/>
                <w:sz w:val="21"/>
                <w:szCs w:val="21"/>
                <w:highlight w:val="none"/>
                <w:lang w:eastAsia="zh-CN"/>
              </w:rPr>
              <w:t>共计</w:t>
            </w:r>
            <w:r>
              <w:rPr>
                <w:rFonts w:hint="default" w:ascii="Times New Roman" w:hAnsi="Times New Roman" w:cs="Times New Roman"/>
                <w:bCs/>
                <w:color w:val="auto"/>
                <w:sz w:val="21"/>
                <w:szCs w:val="21"/>
                <w:highlight w:val="none"/>
                <w:lang w:val="en-US" w:eastAsia="zh-CN"/>
              </w:rPr>
              <w:t>40天，两班制、每班6小时</w:t>
            </w:r>
            <w:r>
              <w:rPr>
                <w:rFonts w:hint="default" w:ascii="Times New Roman" w:hAnsi="Times New Roman" w:cs="Times New Roman"/>
                <w:bCs/>
                <w:color w:val="auto"/>
                <w:sz w:val="21"/>
                <w:szCs w:val="21"/>
                <w:highlight w:val="none"/>
              </w:rPr>
              <w:t>。</w:t>
            </w:r>
          </w:p>
          <w:p w14:paraId="7A63C11A">
            <w:pPr>
              <w:adjustRightInd w:val="0"/>
              <w:snapToGrid w:val="0"/>
              <w:spacing w:line="360" w:lineRule="auto"/>
              <w:ind w:firstLine="422" w:firstLineChars="20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5</w:t>
            </w:r>
            <w:r>
              <w:rPr>
                <w:rFonts w:hint="default" w:ascii="Times New Roman" w:hAnsi="Times New Roman" w:cs="Times New Roman"/>
                <w:b/>
                <w:color w:val="auto"/>
                <w:sz w:val="21"/>
                <w:szCs w:val="21"/>
                <w:highlight w:val="none"/>
              </w:rPr>
              <w:t>、公用工程</w:t>
            </w:r>
          </w:p>
          <w:p w14:paraId="137BE695">
            <w:pPr>
              <w:adjustRightInd w:val="0"/>
              <w:snapToGrid w:val="0"/>
              <w:spacing w:line="360" w:lineRule="auto"/>
              <w:ind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给水</w:t>
            </w:r>
          </w:p>
          <w:p w14:paraId="110C22C9">
            <w:pPr>
              <w:adjustRightInd w:val="0"/>
              <w:snapToGri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本项目供水</w:t>
            </w:r>
            <w:r>
              <w:rPr>
                <w:rFonts w:hint="default" w:ascii="Times New Roman" w:hAnsi="Times New Roman" w:cs="Times New Roman"/>
                <w:color w:val="auto"/>
                <w:sz w:val="21"/>
                <w:szCs w:val="21"/>
                <w:highlight w:val="none"/>
                <w:lang w:eastAsia="zh-CN"/>
              </w:rPr>
              <w:t>由市政自来水管网</w:t>
            </w:r>
            <w:r>
              <w:rPr>
                <w:rFonts w:hint="default" w:ascii="Times New Roman" w:hAnsi="Times New Roman" w:cs="Times New Roman"/>
                <w:color w:val="auto"/>
                <w:sz w:val="21"/>
                <w:szCs w:val="21"/>
                <w:highlight w:val="none"/>
              </w:rPr>
              <w:t>供给。</w:t>
            </w:r>
          </w:p>
          <w:p w14:paraId="0F6CC185">
            <w:pPr>
              <w:keepNext w:val="0"/>
              <w:keepLines w:val="0"/>
              <w:widowControl/>
              <w:numPr>
                <w:ilvl w:val="0"/>
                <w:numId w:val="0"/>
              </w:numPr>
              <w:suppressLineNumbers w:val="0"/>
              <w:spacing w:line="360" w:lineRule="auto"/>
              <w:ind w:firstLine="420" w:firstLineChars="200"/>
              <w:jc w:val="left"/>
              <w:rPr>
                <w:rFonts w:hint="default" w:ascii="Times New Roman" w:hAnsi="Times New Roman" w:cs="Times New Roman"/>
                <w:sz w:val="21"/>
                <w:szCs w:val="21"/>
                <w:highlight w:val="none"/>
                <w:lang w:val="en-US" w:eastAsia="zh-CN"/>
              </w:rPr>
            </w:pPr>
            <w:r>
              <w:rPr>
                <w:rFonts w:hint="default" w:ascii="Times New Roman" w:hAnsi="Times New Roman" w:cs="Times New Roman"/>
                <w:kern w:val="2"/>
                <w:sz w:val="21"/>
                <w:szCs w:val="21"/>
                <w:highlight w:val="none"/>
                <w:lang w:val="en-US" w:eastAsia="zh-CN" w:bidi="ar-SA"/>
              </w:rPr>
              <w:t>1）</w:t>
            </w:r>
            <w:r>
              <w:rPr>
                <w:rFonts w:hint="default" w:ascii="Times New Roman" w:hAnsi="Times New Roman" w:cs="Times New Roman"/>
                <w:sz w:val="21"/>
                <w:szCs w:val="21"/>
                <w:highlight w:val="none"/>
                <w:lang w:val="en-US" w:eastAsia="zh-CN"/>
              </w:rPr>
              <w:t>生活用水</w:t>
            </w:r>
          </w:p>
          <w:p w14:paraId="724CC33B">
            <w:pPr>
              <w:keepNext w:val="0"/>
              <w:keepLines w:val="0"/>
              <w:widowControl/>
              <w:numPr>
                <w:ilvl w:val="0"/>
                <w:numId w:val="0"/>
              </w:numPr>
              <w:suppressLineNumbers w:val="0"/>
              <w:spacing w:line="360" w:lineRule="auto"/>
              <w:ind w:firstLine="420" w:firstLineChars="20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本项目劳动定员</w:t>
            </w:r>
            <w:r>
              <w:rPr>
                <w:rFonts w:hint="default" w:ascii="Times New Roman" w:hAnsi="Times New Roman" w:cs="Times New Roman"/>
                <w:sz w:val="21"/>
                <w:szCs w:val="21"/>
                <w:highlight w:val="none"/>
                <w:lang w:val="en-US" w:eastAsia="zh-CN"/>
              </w:rPr>
              <w:t>50</w:t>
            </w:r>
            <w:r>
              <w:rPr>
                <w:rFonts w:hint="default" w:ascii="Times New Roman" w:hAnsi="Times New Roman" w:cs="Times New Roman"/>
                <w:sz w:val="21"/>
                <w:szCs w:val="21"/>
                <w:highlight w:val="none"/>
              </w:rPr>
              <w:t>人，年工</w:t>
            </w:r>
            <w:r>
              <w:rPr>
                <w:rFonts w:hint="default" w:ascii="Times New Roman" w:hAnsi="Times New Roman" w:cs="Times New Roman"/>
                <w:sz w:val="21"/>
                <w:szCs w:val="21"/>
                <w:highlight w:val="none"/>
                <w:lang w:eastAsia="zh-CN"/>
              </w:rPr>
              <w:t>作</w:t>
            </w:r>
            <w:r>
              <w:rPr>
                <w:rFonts w:hint="default" w:ascii="Times New Roman" w:hAnsi="Times New Roman" w:cs="Times New Roman"/>
                <w:sz w:val="21"/>
                <w:szCs w:val="21"/>
                <w:highlight w:val="none"/>
                <w:lang w:val="en-US" w:eastAsia="zh-CN"/>
              </w:rPr>
              <w:t>40</w:t>
            </w:r>
            <w:r>
              <w:rPr>
                <w:rFonts w:hint="default" w:ascii="Times New Roman" w:hAnsi="Times New Roman" w:cs="Times New Roman"/>
                <w:sz w:val="21"/>
                <w:szCs w:val="21"/>
                <w:highlight w:val="none"/>
              </w:rPr>
              <w:t>天，生活用水量计算参照</w:t>
            </w:r>
            <w:r>
              <w:rPr>
                <w:rFonts w:hint="default" w:ascii="Times New Roman" w:hAnsi="Times New Roman" w:eastAsia="宋体" w:cs="Times New Roman"/>
                <w:color w:val="000000"/>
                <w:kern w:val="0"/>
                <w:sz w:val="21"/>
                <w:szCs w:val="21"/>
                <w:highlight w:val="none"/>
                <w:lang w:val="en-US" w:eastAsia="zh-CN" w:bidi="ar"/>
              </w:rPr>
              <w:t>黑龙江省地方标准《用水定额》（DB23/T727-2021），</w:t>
            </w:r>
            <w:r>
              <w:rPr>
                <w:rFonts w:hint="default" w:ascii="Times New Roman" w:hAnsi="Times New Roman" w:cs="Times New Roman"/>
                <w:sz w:val="21"/>
                <w:szCs w:val="21"/>
                <w:highlight w:val="none"/>
              </w:rPr>
              <w:t>按80L/人·d，则生活用水量为</w:t>
            </w:r>
            <w:r>
              <w:rPr>
                <w:rFonts w:hint="default" w:ascii="Times New Roman" w:hAnsi="Times New Roman" w:cs="Times New Roman"/>
                <w:sz w:val="21"/>
                <w:szCs w:val="21"/>
                <w:highlight w:val="none"/>
                <w:lang w:val="en-US" w:eastAsia="zh-CN"/>
              </w:rPr>
              <w:t>4t</w:t>
            </w:r>
            <w:r>
              <w:rPr>
                <w:rFonts w:hint="default" w:ascii="Times New Roman" w:hAnsi="Times New Roman" w:cs="Times New Roman"/>
                <w:sz w:val="21"/>
                <w:szCs w:val="21"/>
                <w:highlight w:val="none"/>
              </w:rPr>
              <w:t>/d，</w:t>
            </w:r>
            <w:r>
              <w:rPr>
                <w:rFonts w:hint="default" w:ascii="Times New Roman" w:hAnsi="Times New Roman" w:cs="Times New Roman"/>
                <w:sz w:val="21"/>
                <w:szCs w:val="21"/>
                <w:highlight w:val="none"/>
                <w:lang w:val="en-US" w:eastAsia="zh-CN"/>
              </w:rPr>
              <w:t>160t</w:t>
            </w:r>
            <w:r>
              <w:rPr>
                <w:rFonts w:hint="default" w:ascii="Times New Roman" w:hAnsi="Times New Roman" w:cs="Times New Roman"/>
                <w:sz w:val="21"/>
                <w:szCs w:val="21"/>
                <w:highlight w:val="none"/>
              </w:rPr>
              <w:t>/a。</w:t>
            </w:r>
          </w:p>
          <w:p w14:paraId="78F7DC5B">
            <w:pPr>
              <w:adjustRightInd w:val="0"/>
              <w:snapToGrid w:val="0"/>
              <w:spacing w:line="360" w:lineRule="auto"/>
              <w:ind w:firstLine="420" w:firstLineChars="20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2）生产用水</w:t>
            </w:r>
          </w:p>
          <w:p w14:paraId="717B812B">
            <w:pPr>
              <w:keepNext w:val="0"/>
              <w:keepLines w:val="0"/>
              <w:widowControl/>
              <w:numPr>
                <w:ilvl w:val="0"/>
                <w:numId w:val="0"/>
              </w:numPr>
              <w:suppressLineNumbers w:val="0"/>
              <w:spacing w:line="360" w:lineRule="auto"/>
              <w:ind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bCs/>
                <w:color w:val="auto"/>
                <w:sz w:val="21"/>
                <w:szCs w:val="21"/>
                <w:highlight w:val="none"/>
                <w:lang w:eastAsia="zh-CN"/>
              </w:rPr>
              <w:t>类比《青冈县福源农业专业合作社建设项目竣工环境保护验收报告表》，该项目与本项目均为玉米加工项目，加工工艺一致，类比可行。</w:t>
            </w:r>
            <w:r>
              <w:rPr>
                <w:rFonts w:hint="default" w:ascii="Times New Roman" w:hAnsi="Times New Roman" w:cs="Times New Roman"/>
                <w:bCs/>
                <w:color w:val="auto"/>
                <w:sz w:val="21"/>
                <w:szCs w:val="21"/>
                <w:highlight w:val="none"/>
                <w:lang w:eastAsia="zh-CN"/>
              </w:rPr>
              <w:t>该项目年加工</w:t>
            </w:r>
            <w:r>
              <w:rPr>
                <w:rFonts w:hint="default" w:ascii="Times New Roman" w:hAnsi="Times New Roman" w:cs="Times New Roman"/>
                <w:bCs/>
                <w:color w:val="auto"/>
                <w:sz w:val="21"/>
                <w:szCs w:val="21"/>
                <w:highlight w:val="none"/>
                <w:lang w:val="en-US" w:eastAsia="zh-CN"/>
              </w:rPr>
              <w:t>玉米1000万穗（原料为2812.5t玉米），生产用水量为208t/a</w:t>
            </w:r>
            <w:r>
              <w:rPr>
                <w:rFonts w:hint="default" w:ascii="Times New Roman" w:hAnsi="Times New Roman" w:cs="Times New Roman"/>
                <w:bCs/>
                <w:color w:val="auto"/>
                <w:sz w:val="21"/>
                <w:szCs w:val="21"/>
                <w:highlight w:val="none"/>
                <w:lang w:val="en-US" w:eastAsia="zh-CN"/>
              </w:rPr>
              <w:t>，本项目年</w:t>
            </w:r>
            <w:r>
              <w:rPr>
                <w:rFonts w:hint="default" w:ascii="Times New Roman" w:hAnsi="Times New Roman" w:eastAsia="宋体" w:cs="Times New Roman"/>
                <w:sz w:val="21"/>
                <w:szCs w:val="21"/>
                <w:highlight w:val="none"/>
                <w:lang w:val="en-US" w:eastAsia="zh-CN"/>
              </w:rPr>
              <w:t>产速冻玉米1500t，玉米饼400t，（</w:t>
            </w:r>
            <w:r>
              <w:rPr>
                <w:rFonts w:hint="default" w:ascii="Times New Roman" w:hAnsi="Times New Roman" w:cs="Times New Roman"/>
                <w:sz w:val="21"/>
                <w:szCs w:val="21"/>
                <w:highlight w:val="none"/>
                <w:lang w:val="en-US" w:eastAsia="zh-CN"/>
              </w:rPr>
              <w:t>共计</w:t>
            </w:r>
            <w:r>
              <w:rPr>
                <w:rFonts w:hint="default" w:ascii="Times New Roman" w:hAnsi="Times New Roman" w:cs="Times New Roman"/>
                <w:sz w:val="21"/>
                <w:szCs w:val="21"/>
                <w:highlight w:val="none"/>
                <w:lang w:val="en-US" w:eastAsia="zh-CN"/>
              </w:rPr>
              <w:t>原料2250t玉米，</w:t>
            </w:r>
            <w:r>
              <w:rPr>
                <w:rFonts w:hint="default" w:ascii="Times New Roman" w:hAnsi="Times New Roman" w:eastAsia="宋体" w:cs="Times New Roman"/>
                <w:sz w:val="21"/>
                <w:szCs w:val="21"/>
                <w:highlight w:val="none"/>
                <w:lang w:val="en-US" w:eastAsia="zh-CN"/>
              </w:rPr>
              <w:t>玉米饼与速冻玉米用水环节一致，无额外用水环节）</w:t>
            </w:r>
            <w:r>
              <w:rPr>
                <w:rFonts w:hint="default" w:ascii="Times New Roman" w:hAnsi="Times New Roman" w:eastAsia="宋体" w:cs="Times New Roman"/>
                <w:sz w:val="21"/>
                <w:szCs w:val="21"/>
                <w:highlight w:val="none"/>
                <w:lang w:val="en-US" w:eastAsia="zh-CN"/>
              </w:rPr>
              <w:t>则本项目使用生产用水166.4t/a，4.16t/d。</w:t>
            </w:r>
          </w:p>
          <w:p w14:paraId="37CBD7B0">
            <w:pPr>
              <w:keepNext w:val="0"/>
              <w:keepLines w:val="0"/>
              <w:widowControl/>
              <w:numPr>
                <w:ilvl w:val="0"/>
                <w:numId w:val="0"/>
              </w:numPr>
              <w:suppressLineNumbers w:val="0"/>
              <w:spacing w:line="360" w:lineRule="auto"/>
              <w:ind w:firstLine="420" w:firstLineChars="20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3）锅炉用水</w:t>
            </w:r>
          </w:p>
          <w:p w14:paraId="35D0F416">
            <w:pPr>
              <w:adjustRightInd w:val="0"/>
              <w:snapToGrid w:val="0"/>
              <w:spacing w:line="360" w:lineRule="auto"/>
              <w:ind w:firstLine="420" w:firstLineChars="20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根据《排放源统计调查产排污核算方法和系数手册》中“4430工业锅炉 （热力生产和供应）行业系数手册”中产污系数，燃生物质锅炉（锅外水处理）废水产生系数为0.356吨/吨-原料，本项目生物质燃料使用量为306.44t/a，则锅炉排污水和软化处理废水的排放量为2.22t/d（89.13t/a）。排放量按用水量90%计，则锅炉用水量为2.48t/d，99.03t/a。</w:t>
            </w:r>
          </w:p>
          <w:p w14:paraId="51A8E31E">
            <w:pPr>
              <w:numPr>
                <w:ilvl w:val="0"/>
                <w:numId w:val="0"/>
              </w:numPr>
              <w:adjustRightInd w:val="0"/>
              <w:snapToGrid w:val="0"/>
              <w:spacing w:line="360" w:lineRule="auto"/>
              <w:ind w:firstLine="420" w:firstLineChars="200"/>
              <w:rPr>
                <w:rFonts w:hint="default" w:ascii="Times New Roman" w:hAnsi="Times New Roman" w:cs="Times New Roman"/>
                <w:bCs/>
                <w:color w:val="auto"/>
                <w:sz w:val="21"/>
                <w:szCs w:val="21"/>
                <w:highlight w:val="none"/>
              </w:rPr>
            </w:pPr>
            <w:r>
              <w:rPr>
                <w:rFonts w:hint="default" w:ascii="Times New Roman" w:hAnsi="Times New Roman" w:cs="Times New Roman"/>
                <w:bCs/>
                <w:color w:val="auto"/>
                <w:kern w:val="2"/>
                <w:sz w:val="21"/>
                <w:szCs w:val="21"/>
                <w:highlight w:val="none"/>
                <w:lang w:val="en-US" w:eastAsia="zh-CN" w:bidi="ar-SA"/>
              </w:rPr>
              <w:t>（2）</w:t>
            </w:r>
            <w:r>
              <w:rPr>
                <w:rFonts w:hint="default" w:ascii="Times New Roman" w:hAnsi="Times New Roman" w:cs="Times New Roman"/>
                <w:bCs/>
                <w:color w:val="auto"/>
                <w:sz w:val="21"/>
                <w:szCs w:val="21"/>
                <w:highlight w:val="none"/>
              </w:rPr>
              <w:t>排水</w:t>
            </w:r>
          </w:p>
          <w:p w14:paraId="0BF7CE48">
            <w:pPr>
              <w:numPr>
                <w:ilvl w:val="0"/>
                <w:numId w:val="0"/>
              </w:numPr>
              <w:adjustRightInd w:val="0"/>
              <w:snapToGrid w:val="0"/>
              <w:spacing w:line="360" w:lineRule="auto"/>
              <w:ind w:firstLine="420" w:firstLineChars="20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1）生活污水</w:t>
            </w:r>
          </w:p>
          <w:p w14:paraId="71CFE8F5">
            <w:pPr>
              <w:widowControl/>
              <w:spacing w:line="360" w:lineRule="auto"/>
              <w:ind w:firstLine="420" w:firstLineChars="200"/>
              <w:rPr>
                <w:rFonts w:hint="default" w:ascii="Times New Roman" w:hAnsi="Times New Roman" w:cs="Times New Roman"/>
                <w:sz w:val="21"/>
                <w:szCs w:val="21"/>
                <w:highlight w:val="none"/>
                <w:lang w:val="en-US" w:eastAsia="zh-CN"/>
              </w:rPr>
            </w:pPr>
            <w:r>
              <w:rPr>
                <w:rFonts w:hint="default" w:ascii="Times New Roman" w:hAnsi="Times New Roman" w:cs="Times New Roman"/>
                <w:kern w:val="24"/>
                <w:sz w:val="21"/>
                <w:szCs w:val="21"/>
                <w:highlight w:val="none"/>
              </w:rPr>
              <w:t>本项目生活污水产生量按生活用水量的80%计算，生活污水产生量为</w:t>
            </w:r>
            <w:r>
              <w:rPr>
                <w:rFonts w:hint="default" w:ascii="Times New Roman" w:hAnsi="Times New Roman" w:cs="Times New Roman"/>
                <w:kern w:val="24"/>
                <w:sz w:val="21"/>
                <w:szCs w:val="21"/>
                <w:highlight w:val="none"/>
                <w:lang w:val="en-US" w:eastAsia="zh-CN"/>
              </w:rPr>
              <w:t>3.2</w:t>
            </w:r>
            <w:r>
              <w:rPr>
                <w:rFonts w:hint="default" w:ascii="Times New Roman" w:hAnsi="Times New Roman" w:cs="Times New Roman"/>
                <w:kern w:val="24"/>
                <w:sz w:val="21"/>
                <w:szCs w:val="21"/>
                <w:highlight w:val="none"/>
              </w:rPr>
              <w:t>t/d，</w:t>
            </w:r>
            <w:r>
              <w:rPr>
                <w:rFonts w:hint="default" w:ascii="Times New Roman" w:hAnsi="Times New Roman" w:cs="Times New Roman"/>
                <w:kern w:val="24"/>
                <w:sz w:val="21"/>
                <w:szCs w:val="21"/>
                <w:highlight w:val="none"/>
                <w:lang w:val="en-US" w:eastAsia="zh-CN"/>
              </w:rPr>
              <w:t>128</w:t>
            </w:r>
            <w:r>
              <w:rPr>
                <w:rFonts w:hint="default" w:ascii="Times New Roman" w:hAnsi="Times New Roman" w:cs="Times New Roman"/>
                <w:kern w:val="24"/>
                <w:sz w:val="21"/>
                <w:szCs w:val="21"/>
                <w:highlight w:val="none"/>
              </w:rPr>
              <w:t>t/a。</w:t>
            </w:r>
          </w:p>
          <w:p w14:paraId="532BB586">
            <w:pPr>
              <w:adjustRightInd w:val="0"/>
              <w:snapToGrid w:val="0"/>
              <w:spacing w:line="360" w:lineRule="auto"/>
              <w:ind w:firstLine="420" w:firstLineChars="20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2）生产废水</w:t>
            </w:r>
          </w:p>
          <w:p w14:paraId="36BAF96A">
            <w:pPr>
              <w:widowControl/>
              <w:spacing w:line="360" w:lineRule="auto"/>
              <w:ind w:firstLine="420" w:firstLineChars="200"/>
              <w:rPr>
                <w:rFonts w:hint="default" w:ascii="Times New Roman" w:hAnsi="Times New Roman" w:cs="Times New Roman"/>
                <w:kern w:val="24"/>
                <w:sz w:val="21"/>
                <w:szCs w:val="21"/>
                <w:highlight w:val="none"/>
                <w:lang w:eastAsia="zh-CN"/>
              </w:rPr>
            </w:pPr>
            <w:r>
              <w:rPr>
                <w:rFonts w:hint="default" w:ascii="Times New Roman" w:hAnsi="Times New Roman" w:cs="Times New Roman"/>
                <w:kern w:val="24"/>
                <w:sz w:val="21"/>
                <w:szCs w:val="21"/>
                <w:highlight w:val="none"/>
                <w:lang w:eastAsia="zh-CN"/>
              </w:rPr>
              <w:t>本项目</w:t>
            </w:r>
            <w:r>
              <w:rPr>
                <w:rFonts w:hint="default" w:ascii="Times New Roman" w:hAnsi="Times New Roman" w:cs="Times New Roman"/>
                <w:sz w:val="21"/>
                <w:szCs w:val="21"/>
                <w:highlight w:val="none"/>
                <w:lang w:eastAsia="zh-CN"/>
              </w:rPr>
              <w:t>类比《青冈县福源农业专业合作社建设项目竣工环境保护验收报告表》，该项目与本项目均为玉米加工项目，加工工艺一致，类比可行</w:t>
            </w:r>
            <w:r>
              <w:rPr>
                <w:rFonts w:hint="default" w:ascii="Times New Roman" w:hAnsi="Times New Roman" w:cs="Times New Roman"/>
                <w:kern w:val="24"/>
                <w:sz w:val="21"/>
                <w:szCs w:val="21"/>
                <w:highlight w:val="none"/>
              </w:rPr>
              <w:t>。</w:t>
            </w:r>
            <w:r>
              <w:rPr>
                <w:rFonts w:hint="default" w:ascii="Times New Roman" w:hAnsi="Times New Roman" w:cs="Times New Roman"/>
                <w:kern w:val="24"/>
                <w:sz w:val="21"/>
                <w:szCs w:val="21"/>
                <w:highlight w:val="none"/>
                <w:lang w:eastAsia="zh-CN"/>
              </w:rPr>
              <w:t>该项目与本项目生产废水产生量见下表。</w:t>
            </w:r>
          </w:p>
          <w:p w14:paraId="55939E0E">
            <w:pPr>
              <w:pStyle w:val="9"/>
              <w:ind w:left="0" w:leftChars="0" w:firstLine="0" w:firstLineChars="0"/>
              <w:jc w:val="center"/>
              <w:rPr>
                <w:rFonts w:hint="default" w:ascii="Times New Roman" w:hAnsi="Times New Roman" w:cs="Times New Roman"/>
                <w:b/>
                <w:bCs/>
                <w:sz w:val="21"/>
                <w:szCs w:val="21"/>
                <w:highlight w:val="none"/>
                <w:lang w:eastAsia="zh-CN"/>
              </w:rPr>
            </w:pPr>
            <w:r>
              <w:rPr>
                <w:rFonts w:hint="default" w:ascii="Times New Roman" w:hAnsi="Times New Roman" w:cs="Times New Roman"/>
                <w:b/>
                <w:bCs/>
                <w:kern w:val="24"/>
                <w:sz w:val="21"/>
                <w:szCs w:val="21"/>
                <w:highlight w:val="none"/>
                <w:lang w:eastAsia="zh-CN"/>
              </w:rPr>
              <w:t>表</w:t>
            </w:r>
            <w:r>
              <w:rPr>
                <w:rFonts w:hint="default" w:ascii="Times New Roman" w:hAnsi="Times New Roman" w:cs="Times New Roman"/>
                <w:b/>
                <w:bCs/>
                <w:kern w:val="24"/>
                <w:sz w:val="21"/>
                <w:szCs w:val="21"/>
                <w:highlight w:val="none"/>
                <w:lang w:val="en-US" w:eastAsia="zh-CN"/>
              </w:rPr>
              <w:t xml:space="preserve">2-5 </w:t>
            </w:r>
            <w:r>
              <w:rPr>
                <w:rFonts w:hint="default" w:ascii="Times New Roman" w:hAnsi="Times New Roman" w:cs="Times New Roman"/>
                <w:b/>
                <w:bCs/>
                <w:kern w:val="24"/>
                <w:sz w:val="21"/>
                <w:szCs w:val="21"/>
                <w:highlight w:val="none"/>
                <w:lang w:eastAsia="zh-CN"/>
              </w:rPr>
              <w:t>生产废水产生量一览表</w:t>
            </w:r>
          </w:p>
          <w:tbl>
            <w:tblPr>
              <w:tblStyle w:val="13"/>
              <w:tblW w:w="495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385"/>
              <w:gridCol w:w="2133"/>
              <w:gridCol w:w="1227"/>
              <w:gridCol w:w="952"/>
              <w:gridCol w:w="1623"/>
              <w:gridCol w:w="1623"/>
            </w:tblGrid>
            <w:tr w14:paraId="1401C2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64" w:type="pct"/>
                  <w:gridSpan w:val="2"/>
                  <w:tcBorders>
                    <w:left w:val="nil"/>
                    <w:bottom w:val="single" w:color="auto" w:sz="4" w:space="0"/>
                    <w:right w:val="single" w:color="auto" w:sz="4" w:space="0"/>
                  </w:tcBorders>
                  <w:noWrap w:val="0"/>
                  <w:vAlign w:val="center"/>
                </w:tcPr>
                <w:p w14:paraId="632AB745">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序号</w:t>
                  </w:r>
                </w:p>
              </w:tc>
              <w:tc>
                <w:tcPr>
                  <w:tcW w:w="1279" w:type="pct"/>
                  <w:tcBorders>
                    <w:left w:val="single" w:color="auto" w:sz="4" w:space="0"/>
                    <w:bottom w:val="single" w:color="auto" w:sz="4" w:space="0"/>
                    <w:right w:val="single" w:color="auto" w:sz="4" w:space="0"/>
                  </w:tcBorders>
                  <w:noWrap w:val="0"/>
                  <w:vAlign w:val="center"/>
                </w:tcPr>
                <w:p w14:paraId="7D890B6B">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工段</w:t>
                  </w:r>
                </w:p>
              </w:tc>
              <w:tc>
                <w:tcPr>
                  <w:tcW w:w="736" w:type="pct"/>
                  <w:tcBorders>
                    <w:left w:val="single" w:color="auto" w:sz="4" w:space="0"/>
                    <w:bottom w:val="single" w:color="auto" w:sz="4" w:space="0"/>
                    <w:right w:val="single" w:color="auto" w:sz="4" w:space="0"/>
                  </w:tcBorders>
                  <w:noWrap w:val="0"/>
                  <w:vAlign w:val="center"/>
                </w:tcPr>
                <w:p w14:paraId="5074AE9F">
                  <w:pPr>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rPr>
                    <w:t>用水量m</w:t>
                  </w:r>
                  <w:r>
                    <w:rPr>
                      <w:rFonts w:hint="default" w:ascii="Times New Roman" w:hAnsi="Times New Roman" w:cs="Times New Roman"/>
                      <w:color w:val="000000"/>
                      <w:sz w:val="18"/>
                      <w:szCs w:val="18"/>
                      <w:highlight w:val="none"/>
                      <w:vertAlign w:val="superscript"/>
                    </w:rPr>
                    <w:t>3</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val="en-US" w:eastAsia="zh-CN"/>
                    </w:rPr>
                    <w:t>a</w:t>
                  </w:r>
                </w:p>
              </w:tc>
              <w:tc>
                <w:tcPr>
                  <w:tcW w:w="571" w:type="pct"/>
                  <w:tcBorders>
                    <w:left w:val="single" w:color="auto" w:sz="4" w:space="0"/>
                    <w:bottom w:val="single" w:color="auto" w:sz="4" w:space="0"/>
                    <w:right w:val="single" w:color="auto" w:sz="4" w:space="0"/>
                  </w:tcBorders>
                  <w:noWrap w:val="0"/>
                  <w:vAlign w:val="center"/>
                </w:tcPr>
                <w:p w14:paraId="3EAF79EE">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回用率</w:t>
                  </w:r>
                </w:p>
              </w:tc>
              <w:tc>
                <w:tcPr>
                  <w:tcW w:w="973" w:type="pct"/>
                  <w:tcBorders>
                    <w:left w:val="single" w:color="auto" w:sz="4" w:space="0"/>
                    <w:bottom w:val="single" w:color="auto" w:sz="4" w:space="0"/>
                    <w:right w:val="nil"/>
                  </w:tcBorders>
                  <w:noWrap w:val="0"/>
                  <w:vAlign w:val="center"/>
                </w:tcPr>
                <w:p w14:paraId="3FB674D8">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蒸发、风冷损耗</w:t>
                  </w:r>
                </w:p>
              </w:tc>
              <w:tc>
                <w:tcPr>
                  <w:tcW w:w="973" w:type="pct"/>
                  <w:tcBorders>
                    <w:left w:val="single" w:color="auto" w:sz="4" w:space="0"/>
                    <w:bottom w:val="single" w:color="auto" w:sz="4" w:space="0"/>
                    <w:right w:val="nil"/>
                  </w:tcBorders>
                  <w:noWrap w:val="0"/>
                  <w:vAlign w:val="center"/>
                </w:tcPr>
                <w:p w14:paraId="66B5A8D3">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rPr>
                    <w:t>排放量m</w:t>
                  </w:r>
                  <w:r>
                    <w:rPr>
                      <w:rFonts w:hint="default" w:ascii="Times New Roman" w:hAnsi="Times New Roman" w:cs="Times New Roman"/>
                      <w:color w:val="000000"/>
                      <w:sz w:val="18"/>
                      <w:szCs w:val="18"/>
                      <w:highlight w:val="none"/>
                      <w:vertAlign w:val="superscript"/>
                    </w:rPr>
                    <w:t>3</w:t>
                  </w:r>
                  <w:r>
                    <w:rPr>
                      <w:rFonts w:hint="default" w:ascii="Times New Roman" w:hAnsi="Times New Roman" w:cs="Times New Roman"/>
                      <w:color w:val="000000"/>
                      <w:sz w:val="18"/>
                      <w:szCs w:val="18"/>
                      <w:highlight w:val="none"/>
                    </w:rPr>
                    <w:t>/</w:t>
                  </w:r>
                  <w:r>
                    <w:rPr>
                      <w:rFonts w:hint="default" w:ascii="Times New Roman" w:hAnsi="Times New Roman" w:cs="Times New Roman"/>
                      <w:color w:val="000000"/>
                      <w:sz w:val="18"/>
                      <w:szCs w:val="18"/>
                      <w:highlight w:val="none"/>
                      <w:lang w:val="en-US" w:eastAsia="zh-CN"/>
                    </w:rPr>
                    <w:t>a</w:t>
                  </w:r>
                </w:p>
              </w:tc>
            </w:tr>
            <w:tr w14:paraId="056C54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32" w:type="pct"/>
                  <w:vMerge w:val="restart"/>
                  <w:tcBorders>
                    <w:top w:val="single" w:color="auto" w:sz="4" w:space="0"/>
                    <w:left w:val="nil"/>
                    <w:right w:val="single" w:color="auto" w:sz="4" w:space="0"/>
                  </w:tcBorders>
                  <w:noWrap w:val="0"/>
                  <w:vAlign w:val="center"/>
                </w:tcPr>
                <w:p w14:paraId="2D68C21B">
                  <w:pPr>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类比项目</w:t>
                  </w:r>
                </w:p>
              </w:tc>
              <w:tc>
                <w:tcPr>
                  <w:tcW w:w="232" w:type="pct"/>
                  <w:tcBorders>
                    <w:top w:val="single" w:color="auto" w:sz="4" w:space="0"/>
                    <w:left w:val="nil"/>
                    <w:bottom w:val="single" w:color="auto" w:sz="4" w:space="0"/>
                    <w:right w:val="single" w:color="auto" w:sz="4" w:space="0"/>
                  </w:tcBorders>
                  <w:noWrap w:val="0"/>
                  <w:vAlign w:val="center"/>
                </w:tcPr>
                <w:p w14:paraId="15C2FDB6">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1B04A14C">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预清洗</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1F01674">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5EF9F87D">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90%</w:t>
                  </w:r>
                </w:p>
              </w:tc>
              <w:tc>
                <w:tcPr>
                  <w:tcW w:w="973" w:type="pct"/>
                  <w:tcBorders>
                    <w:top w:val="single" w:color="auto" w:sz="4" w:space="0"/>
                    <w:left w:val="single" w:color="auto" w:sz="4" w:space="0"/>
                    <w:bottom w:val="single" w:color="auto" w:sz="4" w:space="0"/>
                    <w:right w:val="nil"/>
                  </w:tcBorders>
                  <w:noWrap w:val="0"/>
                  <w:vAlign w:val="center"/>
                </w:tcPr>
                <w:p w14:paraId="01DDC557">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973" w:type="pct"/>
                  <w:tcBorders>
                    <w:top w:val="single" w:color="auto" w:sz="4" w:space="0"/>
                    <w:left w:val="single" w:color="auto" w:sz="4" w:space="0"/>
                    <w:bottom w:val="single" w:color="auto" w:sz="4" w:space="0"/>
                    <w:right w:val="nil"/>
                  </w:tcBorders>
                  <w:noWrap w:val="0"/>
                  <w:vAlign w:val="center"/>
                </w:tcPr>
                <w:p w14:paraId="61CE630A">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w:t>
                  </w:r>
                </w:p>
              </w:tc>
            </w:tr>
            <w:tr w14:paraId="15D813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continue"/>
                  <w:tcBorders>
                    <w:left w:val="nil"/>
                    <w:right w:val="single" w:color="auto" w:sz="4" w:space="0"/>
                  </w:tcBorders>
                  <w:noWrap w:val="0"/>
                  <w:vAlign w:val="center"/>
                </w:tcPr>
                <w:p w14:paraId="1999B012">
                  <w:pPr>
                    <w:spacing w:after="0"/>
                    <w:jc w:val="center"/>
                    <w:rPr>
                      <w:rFonts w:hint="default" w:ascii="Times New Roman" w:hAnsi="Times New Roman" w:cs="Times New Roman"/>
                      <w:color w:val="000000"/>
                      <w:sz w:val="18"/>
                      <w:szCs w:val="18"/>
                      <w:highlight w:val="none"/>
                    </w:rPr>
                  </w:pPr>
                </w:p>
              </w:tc>
              <w:tc>
                <w:tcPr>
                  <w:tcW w:w="232" w:type="pct"/>
                  <w:tcBorders>
                    <w:top w:val="single" w:color="auto" w:sz="4" w:space="0"/>
                    <w:left w:val="nil"/>
                    <w:bottom w:val="single" w:color="auto" w:sz="4" w:space="0"/>
                    <w:right w:val="single" w:color="auto" w:sz="4" w:space="0"/>
                  </w:tcBorders>
                  <w:noWrap w:val="0"/>
                  <w:vAlign w:val="center"/>
                </w:tcPr>
                <w:p w14:paraId="17AF9220">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2</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0D418BC3">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灭菌锅、风吹干</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B5A7ECC">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128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3FD465F9">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0</w:t>
                  </w:r>
                </w:p>
              </w:tc>
              <w:tc>
                <w:tcPr>
                  <w:tcW w:w="973" w:type="pct"/>
                  <w:tcBorders>
                    <w:top w:val="single" w:color="auto" w:sz="4" w:space="0"/>
                    <w:left w:val="single" w:color="auto" w:sz="4" w:space="0"/>
                    <w:bottom w:val="single" w:color="auto" w:sz="4" w:space="0"/>
                    <w:right w:val="nil"/>
                  </w:tcBorders>
                  <w:noWrap w:val="0"/>
                  <w:vAlign w:val="center"/>
                </w:tcPr>
                <w:p w14:paraId="713647D7">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10%</w:t>
                  </w:r>
                </w:p>
              </w:tc>
              <w:tc>
                <w:tcPr>
                  <w:tcW w:w="973" w:type="pct"/>
                  <w:tcBorders>
                    <w:top w:val="single" w:color="auto" w:sz="4" w:space="0"/>
                    <w:left w:val="single" w:color="auto" w:sz="4" w:space="0"/>
                    <w:bottom w:val="single" w:color="auto" w:sz="4" w:space="0"/>
                    <w:right w:val="nil"/>
                  </w:tcBorders>
                  <w:noWrap w:val="0"/>
                  <w:vAlign w:val="center"/>
                </w:tcPr>
                <w:p w14:paraId="2DC18451">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115.2</w:t>
                  </w:r>
                </w:p>
              </w:tc>
            </w:tr>
            <w:tr w14:paraId="22DB8F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continue"/>
                  <w:tcBorders>
                    <w:left w:val="nil"/>
                    <w:right w:val="single" w:color="auto" w:sz="4" w:space="0"/>
                  </w:tcBorders>
                  <w:noWrap w:val="0"/>
                  <w:vAlign w:val="center"/>
                </w:tcPr>
                <w:p w14:paraId="57684005">
                  <w:pPr>
                    <w:spacing w:after="0"/>
                    <w:jc w:val="center"/>
                    <w:rPr>
                      <w:rFonts w:hint="default" w:ascii="Times New Roman" w:hAnsi="Times New Roman" w:cs="Times New Roman"/>
                      <w:color w:val="000000"/>
                      <w:sz w:val="18"/>
                      <w:szCs w:val="18"/>
                      <w:highlight w:val="none"/>
                    </w:rPr>
                  </w:pPr>
                </w:p>
              </w:tc>
              <w:tc>
                <w:tcPr>
                  <w:tcW w:w="232" w:type="pct"/>
                  <w:tcBorders>
                    <w:top w:val="single" w:color="auto" w:sz="4" w:space="0"/>
                    <w:left w:val="nil"/>
                    <w:bottom w:val="single" w:color="auto" w:sz="4" w:space="0"/>
                    <w:right w:val="single" w:color="auto" w:sz="4" w:space="0"/>
                  </w:tcBorders>
                  <w:noWrap w:val="0"/>
                  <w:vAlign w:val="center"/>
                </w:tcPr>
                <w:p w14:paraId="2748E8FB">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36656BB0">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设备清洗</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49E90591">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40</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92BA51C">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0</w:t>
                  </w:r>
                </w:p>
              </w:tc>
              <w:tc>
                <w:tcPr>
                  <w:tcW w:w="973" w:type="pct"/>
                  <w:tcBorders>
                    <w:top w:val="single" w:color="auto" w:sz="4" w:space="0"/>
                    <w:left w:val="single" w:color="auto" w:sz="4" w:space="0"/>
                    <w:bottom w:val="single" w:color="auto" w:sz="4" w:space="0"/>
                    <w:right w:val="nil"/>
                  </w:tcBorders>
                  <w:noWrap w:val="0"/>
                  <w:vAlign w:val="center"/>
                </w:tcPr>
                <w:p w14:paraId="56CA7169">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5%</w:t>
                  </w:r>
                </w:p>
              </w:tc>
              <w:tc>
                <w:tcPr>
                  <w:tcW w:w="973" w:type="pct"/>
                  <w:tcBorders>
                    <w:top w:val="single" w:color="auto" w:sz="4" w:space="0"/>
                    <w:left w:val="single" w:color="auto" w:sz="4" w:space="0"/>
                    <w:bottom w:val="single" w:color="auto" w:sz="4" w:space="0"/>
                    <w:right w:val="nil"/>
                  </w:tcBorders>
                  <w:noWrap w:val="0"/>
                  <w:vAlign w:val="center"/>
                </w:tcPr>
                <w:p w14:paraId="4D9F664D">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38</w:t>
                  </w:r>
                </w:p>
              </w:tc>
            </w:tr>
            <w:tr w14:paraId="50459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continue"/>
                  <w:tcBorders>
                    <w:left w:val="nil"/>
                    <w:right w:val="single" w:color="auto" w:sz="4" w:space="0"/>
                  </w:tcBorders>
                  <w:noWrap w:val="0"/>
                  <w:vAlign w:val="center"/>
                </w:tcPr>
                <w:p w14:paraId="0E7F8F02">
                  <w:pPr>
                    <w:spacing w:after="0"/>
                    <w:jc w:val="center"/>
                    <w:rPr>
                      <w:rFonts w:hint="default" w:ascii="Times New Roman" w:hAnsi="Times New Roman" w:cs="Times New Roman"/>
                      <w:color w:val="000000"/>
                      <w:sz w:val="18"/>
                      <w:szCs w:val="18"/>
                      <w:highlight w:val="none"/>
                    </w:rPr>
                  </w:pPr>
                </w:p>
              </w:tc>
              <w:tc>
                <w:tcPr>
                  <w:tcW w:w="232" w:type="pct"/>
                  <w:tcBorders>
                    <w:top w:val="single" w:color="auto" w:sz="4" w:space="0"/>
                    <w:left w:val="nil"/>
                    <w:bottom w:val="single" w:color="auto" w:sz="4" w:space="0"/>
                    <w:right w:val="single" w:color="auto" w:sz="4" w:space="0"/>
                  </w:tcBorders>
                  <w:noWrap w:val="0"/>
                  <w:vAlign w:val="center"/>
                </w:tcPr>
                <w:p w14:paraId="458F108E">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4</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6F345549">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合计</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7A8C0DD">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208</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4D245DEF">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w:t>
                  </w:r>
                </w:p>
              </w:tc>
              <w:tc>
                <w:tcPr>
                  <w:tcW w:w="973" w:type="pct"/>
                  <w:tcBorders>
                    <w:top w:val="single" w:color="auto" w:sz="4" w:space="0"/>
                    <w:left w:val="single" w:color="auto" w:sz="4" w:space="0"/>
                    <w:bottom w:val="single" w:color="auto" w:sz="4" w:space="0"/>
                    <w:right w:val="nil"/>
                  </w:tcBorders>
                  <w:noWrap w:val="0"/>
                  <w:vAlign w:val="center"/>
                </w:tcPr>
                <w:p w14:paraId="71F1E053">
                  <w:pPr>
                    <w:spacing w:after="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w:t>
                  </w:r>
                </w:p>
              </w:tc>
              <w:tc>
                <w:tcPr>
                  <w:tcW w:w="973" w:type="pct"/>
                  <w:tcBorders>
                    <w:top w:val="single" w:color="auto" w:sz="4" w:space="0"/>
                    <w:left w:val="single" w:color="auto" w:sz="4" w:space="0"/>
                    <w:bottom w:val="single" w:color="auto" w:sz="4" w:space="0"/>
                    <w:right w:val="nil"/>
                  </w:tcBorders>
                  <w:noWrap w:val="0"/>
                  <w:vAlign w:val="center"/>
                </w:tcPr>
                <w:p w14:paraId="119BBF91">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155.2</w:t>
                  </w:r>
                </w:p>
              </w:tc>
            </w:tr>
            <w:tr w14:paraId="46D868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restart"/>
                  <w:tcBorders>
                    <w:left w:val="nil"/>
                    <w:right w:val="single" w:color="auto" w:sz="4" w:space="0"/>
                  </w:tcBorders>
                  <w:noWrap w:val="0"/>
                  <w:vAlign w:val="center"/>
                </w:tcPr>
                <w:p w14:paraId="746C7693">
                  <w:pPr>
                    <w:spacing w:after="0"/>
                    <w:jc w:val="center"/>
                    <w:rPr>
                      <w:rFonts w:hint="default" w:ascii="Times New Roman" w:hAnsi="Times New Roman" w:eastAsia="宋体" w:cs="Times New Roman"/>
                      <w:color w:val="000000"/>
                      <w:sz w:val="18"/>
                      <w:szCs w:val="18"/>
                      <w:highlight w:val="none"/>
                      <w:lang w:eastAsia="zh-CN"/>
                    </w:rPr>
                  </w:pPr>
                  <w:r>
                    <w:rPr>
                      <w:rFonts w:hint="default" w:ascii="Times New Roman" w:hAnsi="Times New Roman" w:cs="Times New Roman"/>
                      <w:color w:val="000000"/>
                      <w:sz w:val="18"/>
                      <w:szCs w:val="18"/>
                      <w:highlight w:val="none"/>
                      <w:lang w:eastAsia="zh-CN"/>
                    </w:rPr>
                    <w:t>本项目</w:t>
                  </w:r>
                </w:p>
              </w:tc>
              <w:tc>
                <w:tcPr>
                  <w:tcW w:w="232" w:type="pct"/>
                  <w:tcBorders>
                    <w:top w:val="single" w:color="auto" w:sz="4" w:space="0"/>
                    <w:left w:val="nil"/>
                    <w:bottom w:val="single" w:color="auto" w:sz="4" w:space="0"/>
                    <w:right w:val="single" w:color="auto" w:sz="4" w:space="0"/>
                  </w:tcBorders>
                  <w:noWrap w:val="0"/>
                  <w:vAlign w:val="center"/>
                </w:tcPr>
                <w:p w14:paraId="74D58952">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5</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4D949FA3">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预清洗</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22F095C">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32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1752536A">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90%</w:t>
                  </w:r>
                </w:p>
              </w:tc>
              <w:tc>
                <w:tcPr>
                  <w:tcW w:w="973" w:type="pct"/>
                  <w:tcBorders>
                    <w:top w:val="single" w:color="auto" w:sz="4" w:space="0"/>
                    <w:left w:val="single" w:color="auto" w:sz="4" w:space="0"/>
                    <w:bottom w:val="single" w:color="auto" w:sz="4" w:space="0"/>
                    <w:right w:val="nil"/>
                  </w:tcBorders>
                  <w:noWrap w:val="0"/>
                  <w:vAlign w:val="center"/>
                </w:tcPr>
                <w:p w14:paraId="24A34107">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5%</w:t>
                  </w:r>
                </w:p>
              </w:tc>
              <w:tc>
                <w:tcPr>
                  <w:tcW w:w="973" w:type="pct"/>
                  <w:tcBorders>
                    <w:top w:val="single" w:color="auto" w:sz="4" w:space="0"/>
                    <w:left w:val="single" w:color="auto" w:sz="4" w:space="0"/>
                    <w:bottom w:val="single" w:color="auto" w:sz="4" w:space="0"/>
                    <w:right w:val="nil"/>
                  </w:tcBorders>
                  <w:noWrap w:val="0"/>
                  <w:vAlign w:val="center"/>
                </w:tcPr>
                <w:p w14:paraId="21F3D27A">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1.6</w:t>
                  </w:r>
                </w:p>
              </w:tc>
            </w:tr>
            <w:tr w14:paraId="21BD39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continue"/>
                  <w:tcBorders>
                    <w:left w:val="nil"/>
                    <w:right w:val="single" w:color="auto" w:sz="4" w:space="0"/>
                  </w:tcBorders>
                  <w:noWrap w:val="0"/>
                  <w:vAlign w:val="center"/>
                </w:tcPr>
                <w:p w14:paraId="677A6658">
                  <w:pPr>
                    <w:spacing w:after="0"/>
                    <w:jc w:val="center"/>
                    <w:rPr>
                      <w:rFonts w:hint="default" w:ascii="Times New Roman" w:hAnsi="Times New Roman" w:cs="Times New Roman"/>
                      <w:color w:val="000000"/>
                      <w:sz w:val="18"/>
                      <w:szCs w:val="18"/>
                      <w:highlight w:val="none"/>
                    </w:rPr>
                  </w:pPr>
                </w:p>
              </w:tc>
              <w:tc>
                <w:tcPr>
                  <w:tcW w:w="232" w:type="pct"/>
                  <w:tcBorders>
                    <w:top w:val="single" w:color="auto" w:sz="4" w:space="0"/>
                    <w:left w:val="nil"/>
                    <w:bottom w:val="single" w:color="auto" w:sz="4" w:space="0"/>
                    <w:right w:val="single" w:color="auto" w:sz="4" w:space="0"/>
                  </w:tcBorders>
                  <w:noWrap w:val="0"/>
                  <w:vAlign w:val="center"/>
                </w:tcPr>
                <w:p w14:paraId="120E8329">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6</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6DAF2E78">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灭菌锅、风吹干</w:t>
                  </w:r>
                  <w:r>
                    <w:rPr>
                      <w:rFonts w:hint="default" w:ascii="Times New Roman" w:hAnsi="Times New Roman" w:cs="Times New Roman"/>
                      <w:color w:val="000000"/>
                      <w:sz w:val="18"/>
                      <w:szCs w:val="18"/>
                      <w:highlight w:val="none"/>
                      <w:lang w:eastAsia="zh-CN"/>
                    </w:rPr>
                    <w:t>（蒸煮过程）</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609970F0">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102.4</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08C4CF41">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0</w:t>
                  </w:r>
                </w:p>
              </w:tc>
              <w:tc>
                <w:tcPr>
                  <w:tcW w:w="973" w:type="pct"/>
                  <w:tcBorders>
                    <w:top w:val="single" w:color="auto" w:sz="4" w:space="0"/>
                    <w:left w:val="single" w:color="auto" w:sz="4" w:space="0"/>
                    <w:bottom w:val="single" w:color="auto" w:sz="4" w:space="0"/>
                    <w:right w:val="nil"/>
                  </w:tcBorders>
                  <w:noWrap w:val="0"/>
                  <w:vAlign w:val="center"/>
                </w:tcPr>
                <w:p w14:paraId="6D75813A">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10%</w:t>
                  </w:r>
                </w:p>
              </w:tc>
              <w:tc>
                <w:tcPr>
                  <w:tcW w:w="973" w:type="pct"/>
                  <w:tcBorders>
                    <w:top w:val="single" w:color="auto" w:sz="4" w:space="0"/>
                    <w:left w:val="single" w:color="auto" w:sz="4" w:space="0"/>
                    <w:bottom w:val="single" w:color="auto" w:sz="4" w:space="0"/>
                    <w:right w:val="nil"/>
                  </w:tcBorders>
                  <w:noWrap w:val="0"/>
                  <w:vAlign w:val="center"/>
                </w:tcPr>
                <w:p w14:paraId="1D32E8EF">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92.16</w:t>
                  </w:r>
                </w:p>
              </w:tc>
            </w:tr>
            <w:tr w14:paraId="035428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continue"/>
                  <w:tcBorders>
                    <w:left w:val="nil"/>
                    <w:right w:val="single" w:color="auto" w:sz="4" w:space="0"/>
                  </w:tcBorders>
                  <w:noWrap w:val="0"/>
                  <w:vAlign w:val="center"/>
                </w:tcPr>
                <w:p w14:paraId="5863CA58">
                  <w:pPr>
                    <w:spacing w:after="0"/>
                    <w:jc w:val="center"/>
                    <w:rPr>
                      <w:rFonts w:hint="default" w:ascii="Times New Roman" w:hAnsi="Times New Roman" w:cs="Times New Roman"/>
                      <w:color w:val="000000"/>
                      <w:sz w:val="18"/>
                      <w:szCs w:val="18"/>
                      <w:highlight w:val="none"/>
                    </w:rPr>
                  </w:pPr>
                </w:p>
              </w:tc>
              <w:tc>
                <w:tcPr>
                  <w:tcW w:w="232" w:type="pct"/>
                  <w:tcBorders>
                    <w:top w:val="single" w:color="auto" w:sz="4" w:space="0"/>
                    <w:left w:val="nil"/>
                    <w:bottom w:val="single" w:color="auto" w:sz="4" w:space="0"/>
                    <w:right w:val="single" w:color="auto" w:sz="4" w:space="0"/>
                  </w:tcBorders>
                  <w:noWrap w:val="0"/>
                  <w:vAlign w:val="center"/>
                </w:tcPr>
                <w:p w14:paraId="424A7341">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7</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223427A7">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设备清洗</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548C85AC">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32</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265383D3">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0</w:t>
                  </w:r>
                </w:p>
              </w:tc>
              <w:tc>
                <w:tcPr>
                  <w:tcW w:w="973" w:type="pct"/>
                  <w:tcBorders>
                    <w:top w:val="single" w:color="auto" w:sz="4" w:space="0"/>
                    <w:left w:val="single" w:color="auto" w:sz="4" w:space="0"/>
                    <w:bottom w:val="single" w:color="auto" w:sz="4" w:space="0"/>
                    <w:right w:val="nil"/>
                  </w:tcBorders>
                  <w:noWrap w:val="0"/>
                  <w:vAlign w:val="center"/>
                </w:tcPr>
                <w:p w14:paraId="52973DB8">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5%</w:t>
                  </w:r>
                </w:p>
              </w:tc>
              <w:tc>
                <w:tcPr>
                  <w:tcW w:w="973" w:type="pct"/>
                  <w:tcBorders>
                    <w:top w:val="single" w:color="auto" w:sz="4" w:space="0"/>
                    <w:left w:val="single" w:color="auto" w:sz="4" w:space="0"/>
                    <w:bottom w:val="single" w:color="auto" w:sz="4" w:space="0"/>
                    <w:right w:val="nil"/>
                  </w:tcBorders>
                  <w:noWrap w:val="0"/>
                  <w:vAlign w:val="center"/>
                </w:tcPr>
                <w:p w14:paraId="0C505C5E">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30.4</w:t>
                  </w:r>
                </w:p>
              </w:tc>
            </w:tr>
            <w:tr w14:paraId="26465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32" w:type="pct"/>
                  <w:vMerge w:val="continue"/>
                  <w:tcBorders>
                    <w:left w:val="nil"/>
                    <w:bottom w:val="single" w:color="auto" w:sz="4" w:space="0"/>
                    <w:right w:val="single" w:color="auto" w:sz="4" w:space="0"/>
                  </w:tcBorders>
                  <w:noWrap w:val="0"/>
                  <w:vAlign w:val="center"/>
                </w:tcPr>
                <w:p w14:paraId="64B56447">
                  <w:pPr>
                    <w:spacing w:after="0"/>
                    <w:jc w:val="center"/>
                    <w:rPr>
                      <w:rFonts w:hint="default" w:ascii="Times New Roman" w:hAnsi="Times New Roman" w:cs="Times New Roman"/>
                      <w:color w:val="000000"/>
                      <w:sz w:val="18"/>
                      <w:szCs w:val="18"/>
                      <w:highlight w:val="none"/>
                    </w:rPr>
                  </w:pPr>
                </w:p>
              </w:tc>
              <w:tc>
                <w:tcPr>
                  <w:tcW w:w="232" w:type="pct"/>
                  <w:tcBorders>
                    <w:top w:val="single" w:color="auto" w:sz="4" w:space="0"/>
                    <w:left w:val="nil"/>
                    <w:bottom w:val="single" w:color="auto" w:sz="4" w:space="0"/>
                    <w:right w:val="single" w:color="auto" w:sz="4" w:space="0"/>
                  </w:tcBorders>
                  <w:noWrap w:val="0"/>
                  <w:vAlign w:val="center"/>
                </w:tcPr>
                <w:p w14:paraId="7BF3711D">
                  <w:pPr>
                    <w:spacing w:after="0"/>
                    <w:jc w:val="center"/>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8</w:t>
                  </w:r>
                </w:p>
              </w:tc>
              <w:tc>
                <w:tcPr>
                  <w:tcW w:w="1279" w:type="pct"/>
                  <w:tcBorders>
                    <w:top w:val="single" w:color="auto" w:sz="4" w:space="0"/>
                    <w:left w:val="single" w:color="auto" w:sz="4" w:space="0"/>
                    <w:bottom w:val="single" w:color="auto" w:sz="4" w:space="0"/>
                    <w:right w:val="single" w:color="auto" w:sz="4" w:space="0"/>
                  </w:tcBorders>
                  <w:noWrap w:val="0"/>
                  <w:vAlign w:val="center"/>
                </w:tcPr>
                <w:p w14:paraId="5DBA3920">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合计</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2485D622">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166.4</w:t>
                  </w:r>
                </w:p>
              </w:tc>
              <w:tc>
                <w:tcPr>
                  <w:tcW w:w="571" w:type="pct"/>
                  <w:tcBorders>
                    <w:top w:val="single" w:color="auto" w:sz="4" w:space="0"/>
                    <w:left w:val="single" w:color="auto" w:sz="4" w:space="0"/>
                    <w:bottom w:val="single" w:color="auto" w:sz="4" w:space="0"/>
                    <w:right w:val="single" w:color="auto" w:sz="4" w:space="0"/>
                  </w:tcBorders>
                  <w:noWrap w:val="0"/>
                  <w:vAlign w:val="center"/>
                </w:tcPr>
                <w:p w14:paraId="63A7A12D">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w:t>
                  </w:r>
                </w:p>
              </w:tc>
              <w:tc>
                <w:tcPr>
                  <w:tcW w:w="973" w:type="pct"/>
                  <w:tcBorders>
                    <w:top w:val="single" w:color="auto" w:sz="4" w:space="0"/>
                    <w:left w:val="single" w:color="auto" w:sz="4" w:space="0"/>
                    <w:bottom w:val="single" w:color="auto" w:sz="4" w:space="0"/>
                    <w:right w:val="nil"/>
                  </w:tcBorders>
                  <w:noWrap w:val="0"/>
                  <w:vAlign w:val="center"/>
                </w:tcPr>
                <w:p w14:paraId="1FEF182C">
                  <w:pPr>
                    <w:spacing w:after="0"/>
                    <w:jc w:val="center"/>
                    <w:rPr>
                      <w:rFonts w:hint="default" w:ascii="Times New Roman" w:hAnsi="Times New Roman" w:cs="Times New Roman"/>
                      <w:color w:val="000000"/>
                      <w:kern w:val="2"/>
                      <w:sz w:val="18"/>
                      <w:szCs w:val="18"/>
                      <w:highlight w:val="none"/>
                      <w:lang w:val="en-US" w:eastAsia="zh-CN" w:bidi="ar-SA"/>
                    </w:rPr>
                  </w:pPr>
                  <w:r>
                    <w:rPr>
                      <w:rFonts w:hint="default" w:ascii="Times New Roman" w:hAnsi="Times New Roman" w:cs="Times New Roman"/>
                      <w:color w:val="000000"/>
                      <w:sz w:val="18"/>
                      <w:szCs w:val="18"/>
                      <w:highlight w:val="none"/>
                    </w:rPr>
                    <w:t>-</w:t>
                  </w:r>
                </w:p>
              </w:tc>
              <w:tc>
                <w:tcPr>
                  <w:tcW w:w="973" w:type="pct"/>
                  <w:tcBorders>
                    <w:top w:val="single" w:color="auto" w:sz="4" w:space="0"/>
                    <w:left w:val="single" w:color="auto" w:sz="4" w:space="0"/>
                    <w:bottom w:val="single" w:color="auto" w:sz="4" w:space="0"/>
                    <w:right w:val="nil"/>
                  </w:tcBorders>
                  <w:noWrap w:val="0"/>
                  <w:vAlign w:val="center"/>
                </w:tcPr>
                <w:p w14:paraId="07E46D19">
                  <w:pPr>
                    <w:spacing w:after="0"/>
                    <w:jc w:val="center"/>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kern w:val="2"/>
                      <w:sz w:val="18"/>
                      <w:szCs w:val="18"/>
                      <w:highlight w:val="none"/>
                      <w:lang w:val="en-US" w:eastAsia="zh-CN" w:bidi="ar-SA"/>
                    </w:rPr>
                    <w:t>124.16</w:t>
                  </w:r>
                </w:p>
              </w:tc>
            </w:tr>
          </w:tbl>
          <w:p w14:paraId="7C98DEC1">
            <w:pPr>
              <w:adjustRightInd w:val="0"/>
              <w:snapToGrid w:val="0"/>
              <w:spacing w:line="360" w:lineRule="auto"/>
              <w:ind w:firstLine="420" w:firstLineChars="200"/>
              <w:rPr>
                <w:rFonts w:hint="default" w:ascii="Times New Roman" w:hAnsi="Times New Roman" w:eastAsia="宋体" w:cs="Times New Roman"/>
                <w:color w:val="auto"/>
                <w:spacing w:val="0"/>
                <w:highlight w:val="none"/>
                <w:lang w:eastAsia="zh-CN"/>
              </w:rPr>
            </w:pPr>
            <w:r>
              <w:rPr>
                <w:rFonts w:hint="default" w:ascii="Times New Roman" w:hAnsi="Times New Roman" w:cs="Times New Roman"/>
                <w:color w:val="auto"/>
                <w:spacing w:val="0"/>
                <w:highlight w:val="none"/>
                <w:lang w:val="en-US" w:eastAsia="zh-CN"/>
              </w:rPr>
              <w:t>3</w:t>
            </w:r>
            <w:r>
              <w:rPr>
                <w:rFonts w:hint="default" w:ascii="Times New Roman" w:hAnsi="Times New Roman" w:cs="Times New Roman"/>
                <w:color w:val="auto"/>
                <w:spacing w:val="0"/>
                <w:highlight w:val="none"/>
                <w:lang w:eastAsia="zh-CN"/>
              </w:rPr>
              <w:t>）锅炉排污水</w:t>
            </w:r>
          </w:p>
          <w:p w14:paraId="38EABB8A">
            <w:pPr>
              <w:adjustRightInd w:val="0"/>
              <w:snapToGrid w:val="0"/>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bCs/>
                <w:color w:val="auto"/>
                <w:szCs w:val="21"/>
                <w:highlight w:val="none"/>
                <w:lang w:val="en-US" w:eastAsia="zh-CN"/>
              </w:rPr>
              <w:t>根据《排放源统计调查产排污核算方法和系数手册》中“4430工业锅炉 （热力生产和供应）行业系数手册”中产污系数，燃生物质锅炉（锅外水处理）废水产生系数为0.356吨/吨-原料，本项目生物质燃料使用量为306.44t/a，则锅炉排污水和软化处理废水的排放量为2.22t/d（89.13t/a）</w:t>
            </w:r>
            <w:r>
              <w:rPr>
                <w:rFonts w:hint="default" w:ascii="Times New Roman" w:hAnsi="Times New Roman" w:cs="Times New Roman"/>
                <w:color w:val="auto"/>
                <w:spacing w:val="0"/>
                <w:highlight w:val="none"/>
                <w:lang w:val="en-US" w:eastAsia="zh-CN"/>
              </w:rPr>
              <w:t>；产生废水</w:t>
            </w:r>
            <w:r>
              <w:rPr>
                <w:rFonts w:hint="default" w:ascii="Times New Roman" w:hAnsi="Times New Roman" w:cs="Times New Roman"/>
                <w:color w:val="auto"/>
                <w:spacing w:val="0"/>
                <w:highlight w:val="none"/>
                <w:lang w:eastAsia="zh-CN"/>
              </w:rPr>
              <w:t>用于</w:t>
            </w:r>
            <w:r>
              <w:rPr>
                <w:rFonts w:hint="default" w:ascii="Times New Roman" w:hAnsi="Times New Roman" w:cs="Times New Roman"/>
                <w:color w:val="auto"/>
                <w:spacing w:val="0"/>
                <w:highlight w:val="none"/>
                <w:lang w:eastAsia="zh-CN"/>
              </w:rPr>
              <w:t>灰渣、厂区内洒水降尘及厂区绿化</w:t>
            </w:r>
            <w:r>
              <w:rPr>
                <w:rFonts w:hint="default" w:ascii="Times New Roman" w:hAnsi="Times New Roman" w:cs="Times New Roman"/>
                <w:color w:val="auto"/>
                <w:spacing w:val="0"/>
                <w:highlight w:val="none"/>
                <w:lang w:eastAsia="zh-CN"/>
              </w:rPr>
              <w:t>，不外排</w:t>
            </w:r>
            <w:r>
              <w:rPr>
                <w:rFonts w:hint="default" w:ascii="Times New Roman" w:hAnsi="Times New Roman" w:cs="Times New Roman"/>
                <w:color w:val="auto"/>
                <w:highlight w:val="none"/>
              </w:rPr>
              <w:t>。</w:t>
            </w:r>
          </w:p>
          <w:p w14:paraId="6544D7FA">
            <w:pPr>
              <w:pStyle w:val="12"/>
              <w:ind w:left="0" w:leftChars="0" w:firstLine="0" w:firstLineChars="0"/>
              <w:rPr>
                <w:rFonts w:hint="default" w:ascii="Times New Roman" w:hAnsi="Times New Roman" w:eastAsia="宋体" w:cs="Times New Roman"/>
                <w:highlight w:val="none"/>
                <w:lang w:eastAsia="zh-CN"/>
              </w:rPr>
            </w:pPr>
            <w:r>
              <w:rPr>
                <w:rFonts w:hint="default" w:ascii="Times New Roman" w:hAnsi="Times New Roman" w:eastAsia="宋体" w:cs="Times New Roman"/>
                <w:b/>
                <w:bCs/>
                <w:sz w:val="24"/>
                <w:szCs w:val="24"/>
                <w:highlight w:val="none"/>
                <w:lang w:eastAsia="zh-CN"/>
              </w:rPr>
              <w:object>
                <v:shape id="_x0000_i1025" o:spt="75" type="#_x0000_t75" style="height:273.5pt;width:410.5pt;" o:ole="t" filled="f" o:preferrelative="t" stroked="f" coordsize="21600,21600">
                  <v:path/>
                  <v:fill on="f" focussize="0,0"/>
                  <v:stroke on="f"/>
                  <v:imagedata r:id="rId10" o:title=""/>
                  <o:lock v:ext="edit" aspectratio="t"/>
                  <w10:wrap type="none"/>
                  <w10:anchorlock/>
                </v:shape>
                <o:OLEObject Type="Embed" ProgID="Visio.Drawing.15" ShapeID="_x0000_i1025" DrawAspect="Content" ObjectID="_1468075725" r:id="rId9">
                  <o:LockedField>false</o:LockedField>
                </o:OLEObject>
              </w:object>
            </w:r>
          </w:p>
          <w:p w14:paraId="17136C2A">
            <w:pPr>
              <w:pStyle w:val="12"/>
              <w:jc w:val="center"/>
              <w:rPr>
                <w:rFonts w:hint="default" w:ascii="Times New Roman" w:hAnsi="Times New Roman" w:cs="Times New Roman"/>
                <w:highlight w:val="none"/>
                <w:lang w:val="en-US" w:eastAsia="zh-CN"/>
              </w:rPr>
            </w:pPr>
            <w:r>
              <w:rPr>
                <w:rFonts w:hint="default" w:ascii="Times New Roman" w:hAnsi="Times New Roman" w:eastAsia="宋体" w:cs="Times New Roman"/>
                <w:b/>
                <w:color w:val="auto"/>
                <w:kern w:val="2"/>
                <w:sz w:val="21"/>
                <w:szCs w:val="21"/>
                <w:highlight w:val="none"/>
                <w:lang w:val="en-US" w:eastAsia="zh-CN" w:bidi="ar-SA"/>
              </w:rPr>
              <w:t>图2-2 本项目建成后全</w:t>
            </w:r>
            <w:r>
              <w:rPr>
                <w:rFonts w:hint="default" w:ascii="Times New Roman" w:hAnsi="Times New Roman" w:eastAsia="宋体" w:cs="Times New Roman"/>
                <w:b/>
                <w:color w:val="auto"/>
                <w:kern w:val="2"/>
                <w:sz w:val="21"/>
                <w:szCs w:val="21"/>
                <w:highlight w:val="none"/>
                <w:lang w:val="en-US" w:eastAsia="zh-CN" w:bidi="ar-SA"/>
              </w:rPr>
              <w:t>厂水平衡图（单位：t/</w:t>
            </w:r>
            <w:r>
              <w:rPr>
                <w:rFonts w:hint="default" w:ascii="Times New Roman" w:hAnsi="Times New Roman" w:cs="Times New Roman"/>
                <w:b/>
                <w:color w:val="auto"/>
                <w:kern w:val="2"/>
                <w:sz w:val="21"/>
                <w:szCs w:val="21"/>
                <w:highlight w:val="none"/>
                <w:lang w:val="en-US" w:eastAsia="zh-CN" w:bidi="ar-SA"/>
              </w:rPr>
              <w:t>d</w:t>
            </w:r>
            <w:r>
              <w:rPr>
                <w:rFonts w:hint="default" w:ascii="Times New Roman" w:hAnsi="Times New Roman" w:eastAsia="宋体" w:cs="Times New Roman"/>
                <w:b/>
                <w:color w:val="auto"/>
                <w:kern w:val="2"/>
                <w:sz w:val="21"/>
                <w:szCs w:val="21"/>
                <w:highlight w:val="none"/>
                <w:lang w:val="en-US" w:eastAsia="zh-CN" w:bidi="ar-SA"/>
              </w:rPr>
              <w:t>）</w:t>
            </w:r>
          </w:p>
          <w:p w14:paraId="0FF9A31C">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③供电</w:t>
            </w:r>
          </w:p>
          <w:p w14:paraId="43579C53">
            <w:pPr>
              <w:adjustRightInd w:val="0"/>
              <w:snapToGrid w:val="0"/>
              <w:spacing w:line="360" w:lineRule="auto"/>
              <w:ind w:firstLine="420" w:firstLineChars="200"/>
              <w:rPr>
                <w:rFonts w:hint="default" w:ascii="Times New Roman" w:hAnsi="Times New Roman" w:cs="Times New Roman"/>
                <w:bCs/>
                <w:color w:val="auto"/>
                <w:szCs w:val="21"/>
                <w:highlight w:val="none"/>
                <w:lang w:eastAsia="zh-CN"/>
              </w:rPr>
            </w:pPr>
            <w:r>
              <w:rPr>
                <w:rFonts w:hint="default" w:ascii="Times New Roman" w:hAnsi="Times New Roman" w:cs="Times New Roman"/>
                <w:bCs/>
                <w:color w:val="auto"/>
                <w:szCs w:val="21"/>
                <w:highlight w:val="none"/>
                <w:lang w:eastAsia="zh-CN"/>
              </w:rPr>
              <w:t>市政供电</w:t>
            </w:r>
          </w:p>
          <w:p w14:paraId="392A674D">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④供热</w:t>
            </w:r>
          </w:p>
          <w:p w14:paraId="7AFC0099">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本项目</w:t>
            </w:r>
            <w:r>
              <w:rPr>
                <w:rFonts w:hint="default" w:ascii="Times New Roman" w:hAnsi="Times New Roman" w:cs="Times New Roman"/>
                <w:bCs/>
                <w:color w:val="auto"/>
                <w:szCs w:val="21"/>
                <w:highlight w:val="none"/>
                <w:lang w:eastAsia="zh-CN"/>
              </w:rPr>
              <w:t>由一台</w:t>
            </w:r>
            <w:r>
              <w:rPr>
                <w:rFonts w:hint="default" w:ascii="Times New Roman" w:hAnsi="Times New Roman" w:cs="Times New Roman"/>
                <w:bCs/>
                <w:color w:val="auto"/>
                <w:szCs w:val="21"/>
                <w:highlight w:val="none"/>
                <w:lang w:val="en-US" w:eastAsia="zh-CN"/>
              </w:rPr>
              <w:t>3t/h生物质蒸汽锅炉用于生产用热</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燃料为生物质成型颗粒</w:t>
            </w:r>
            <w:r>
              <w:rPr>
                <w:rFonts w:hint="default" w:ascii="Times New Roman" w:hAnsi="Times New Roman" w:cs="Times New Roman"/>
                <w:bCs/>
                <w:color w:val="auto"/>
                <w:szCs w:val="21"/>
                <w:highlight w:val="none"/>
                <w:lang w:eastAsia="zh-CN"/>
              </w:rPr>
              <w:t>，年使用量</w:t>
            </w:r>
            <w:r>
              <w:rPr>
                <w:rFonts w:hint="default" w:ascii="Times New Roman" w:hAnsi="Times New Roman" w:cs="Times New Roman"/>
                <w:bCs/>
                <w:color w:val="auto"/>
                <w:szCs w:val="21"/>
                <w:highlight w:val="none"/>
                <w:lang w:val="en-US" w:eastAsia="zh-CN"/>
              </w:rPr>
              <w:t>306.44t，</w:t>
            </w:r>
            <w:r>
              <w:rPr>
                <w:rFonts w:hint="default" w:ascii="Times New Roman" w:hAnsi="Times New Roman" w:cs="Times New Roman"/>
                <w:bCs/>
                <w:color w:val="auto"/>
                <w:szCs w:val="21"/>
                <w:highlight w:val="none"/>
              </w:rPr>
              <w:t>供热时间</w:t>
            </w:r>
            <w:r>
              <w:rPr>
                <w:rFonts w:hint="default" w:ascii="Times New Roman" w:hAnsi="Times New Roman" w:cs="Times New Roman"/>
                <w:bCs/>
                <w:color w:val="auto"/>
                <w:szCs w:val="21"/>
                <w:highlight w:val="none"/>
                <w:lang w:val="en-US" w:eastAsia="zh-CN"/>
              </w:rPr>
              <w:t>40</w:t>
            </w:r>
            <w:r>
              <w:rPr>
                <w:rFonts w:hint="default" w:ascii="Times New Roman" w:hAnsi="Times New Roman" w:cs="Times New Roman"/>
                <w:bCs/>
                <w:color w:val="auto"/>
                <w:szCs w:val="21"/>
                <w:highlight w:val="none"/>
              </w:rPr>
              <w:t>天</w:t>
            </w:r>
            <w:r>
              <w:rPr>
                <w:rFonts w:hint="default" w:ascii="Times New Roman" w:hAnsi="Times New Roman" w:cs="Times New Roman"/>
                <w:bCs/>
                <w:color w:val="auto"/>
                <w:szCs w:val="21"/>
                <w:highlight w:val="none"/>
                <w:lang w:eastAsia="zh-CN"/>
              </w:rPr>
              <w:t>；项目运营期为每年</w:t>
            </w:r>
            <w:r>
              <w:rPr>
                <w:rFonts w:hint="default" w:ascii="Times New Roman" w:hAnsi="Times New Roman" w:cs="Times New Roman"/>
                <w:bCs/>
                <w:color w:val="auto"/>
                <w:szCs w:val="21"/>
                <w:highlight w:val="none"/>
                <w:lang w:val="en-US" w:eastAsia="zh-CN"/>
              </w:rPr>
              <w:t>8-9月不涉及生活供暖</w:t>
            </w:r>
            <w:r>
              <w:rPr>
                <w:rFonts w:hint="default" w:ascii="Times New Roman" w:hAnsi="Times New Roman" w:cs="Times New Roman"/>
                <w:bCs/>
                <w:color w:val="auto"/>
                <w:szCs w:val="21"/>
                <w:highlight w:val="none"/>
              </w:rPr>
              <w:t>。</w:t>
            </w:r>
          </w:p>
          <w:p w14:paraId="023EFDAD">
            <w:pPr>
              <w:adjustRightInd w:val="0"/>
              <w:snapToGrid w:val="0"/>
              <w:spacing w:line="360" w:lineRule="auto"/>
              <w:ind w:firstLine="420" w:firstLineChars="200"/>
              <w:rPr>
                <w:rFonts w:hint="default" w:ascii="Times New Roman" w:hAnsi="Times New Roman" w:eastAsia="黑体" w:cs="Times New Roman"/>
                <w:highlight w:val="none"/>
                <w:lang w:val="en-US" w:eastAsia="zh-CN"/>
              </w:rPr>
            </w:pPr>
            <w:r>
              <w:rPr>
                <w:rFonts w:hint="default" w:ascii="Times New Roman" w:hAnsi="Times New Roman" w:cs="Times New Roman"/>
                <w:bCs/>
                <w:color w:val="auto"/>
                <w:szCs w:val="21"/>
                <w:highlight w:val="none"/>
              </w:rPr>
              <w:t>根据生物质燃料特性分析单可知，收到基低位发热量为</w:t>
            </w:r>
            <w:r>
              <w:rPr>
                <w:rFonts w:hint="default" w:ascii="Times New Roman" w:hAnsi="Times New Roman" w:cs="Times New Roman"/>
                <w:bCs/>
                <w:color w:val="auto"/>
                <w:szCs w:val="21"/>
                <w:highlight w:val="none"/>
                <w:lang w:val="en-US" w:eastAsia="zh-CN"/>
              </w:rPr>
              <w:t>13.865</w:t>
            </w:r>
            <w:r>
              <w:rPr>
                <w:rFonts w:hint="default" w:ascii="Times New Roman" w:hAnsi="Times New Roman" w:cs="Times New Roman"/>
                <w:bCs/>
                <w:color w:val="auto"/>
                <w:szCs w:val="21"/>
                <w:highlight w:val="none"/>
              </w:rPr>
              <w:t>MJ/kg、</w:t>
            </w:r>
            <w:r>
              <w:rPr>
                <w:rFonts w:hint="default" w:ascii="Times New Roman" w:hAnsi="Times New Roman" w:cs="Times New Roman"/>
                <w:bCs/>
                <w:color w:val="auto"/>
                <w:szCs w:val="21"/>
                <w:highlight w:val="none"/>
                <w:lang w:val="en-US" w:eastAsia="zh-CN"/>
              </w:rPr>
              <w:t>3317</w:t>
            </w:r>
            <w:r>
              <w:rPr>
                <w:rFonts w:hint="default" w:ascii="Times New Roman" w:hAnsi="Times New Roman" w:cs="Times New Roman"/>
                <w:bCs/>
                <w:color w:val="auto"/>
                <w:szCs w:val="21"/>
                <w:highlight w:val="none"/>
              </w:rPr>
              <w:t>kcal/kg，锅炉热效率为85%，生物质锅炉每小时消耗量=60万大卡</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rPr>
              <w:t>吨位/燃料热值/锅炉燃烧效率，则1台</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t烧生物质成型燃料锅炉1小时需要燃料量为（600000×</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3317</w:t>
            </w:r>
            <w:r>
              <w:rPr>
                <w:rFonts w:hint="default" w:ascii="Times New Roman" w:hAnsi="Times New Roman" w:cs="Times New Roman"/>
                <w:bCs/>
                <w:color w:val="auto"/>
                <w:szCs w:val="21"/>
                <w:highlight w:val="none"/>
              </w:rPr>
              <w:t>÷85%）kg/h=</w:t>
            </w:r>
            <w:r>
              <w:rPr>
                <w:rFonts w:hint="default" w:ascii="Times New Roman" w:hAnsi="Times New Roman" w:cs="Times New Roman"/>
                <w:bCs/>
                <w:color w:val="auto"/>
                <w:szCs w:val="21"/>
                <w:highlight w:val="none"/>
                <w:lang w:val="en-US" w:eastAsia="zh-CN"/>
              </w:rPr>
              <w:t>638.42</w:t>
            </w:r>
            <w:r>
              <w:rPr>
                <w:rFonts w:hint="default" w:ascii="Times New Roman" w:hAnsi="Times New Roman" w:cs="Times New Roman"/>
                <w:bCs/>
                <w:color w:val="auto"/>
                <w:szCs w:val="21"/>
                <w:highlight w:val="none"/>
              </w:rPr>
              <w:t>kg/h，年运行</w:t>
            </w:r>
            <w:r>
              <w:rPr>
                <w:rFonts w:hint="default" w:ascii="Times New Roman" w:hAnsi="Times New Roman" w:cs="Times New Roman"/>
                <w:bCs/>
                <w:color w:val="auto"/>
                <w:szCs w:val="21"/>
                <w:highlight w:val="none"/>
                <w:lang w:val="en-US" w:eastAsia="zh-CN"/>
              </w:rPr>
              <w:t>480</w:t>
            </w:r>
            <w:r>
              <w:rPr>
                <w:rFonts w:hint="default" w:ascii="Times New Roman" w:hAnsi="Times New Roman" w:cs="Times New Roman"/>
                <w:bCs/>
                <w:color w:val="auto"/>
                <w:szCs w:val="21"/>
                <w:highlight w:val="none"/>
              </w:rPr>
              <w:t>h，则每年消耗生物质成型燃料量为</w:t>
            </w:r>
            <w:r>
              <w:rPr>
                <w:rFonts w:hint="default" w:ascii="Times New Roman" w:hAnsi="Times New Roman" w:cs="Times New Roman"/>
                <w:bCs/>
                <w:color w:val="auto"/>
                <w:szCs w:val="21"/>
                <w:highlight w:val="none"/>
                <w:lang w:val="en-US" w:eastAsia="zh-CN"/>
              </w:rPr>
              <w:t>306.44</w:t>
            </w:r>
            <w:r>
              <w:rPr>
                <w:rFonts w:hint="default" w:ascii="Times New Roman" w:hAnsi="Times New Roman" w:cs="Times New Roman"/>
                <w:bCs/>
                <w:color w:val="auto"/>
                <w:szCs w:val="21"/>
                <w:highlight w:val="none"/>
              </w:rPr>
              <w:t>t/a。</w:t>
            </w:r>
          </w:p>
          <w:p w14:paraId="17A52DF4">
            <w:pPr>
              <w:pStyle w:val="24"/>
              <w:spacing w:line="360" w:lineRule="auto"/>
              <w:ind w:left="0" w:firstLine="422" w:firstLineChars="200"/>
              <w:jc w:val="both"/>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、环保投资</w:t>
            </w:r>
          </w:p>
          <w:p w14:paraId="352BD85E">
            <w:pPr>
              <w:spacing w:line="360" w:lineRule="auto"/>
              <w:ind w:firstLine="420" w:firstLineChars="200"/>
              <w:rPr>
                <w:rFonts w:hint="default" w:ascii="Times New Roman" w:hAnsi="Times New Roman" w:cs="Times New Roman"/>
                <w:b/>
                <w:color w:val="auto"/>
                <w:szCs w:val="21"/>
                <w:highlight w:val="none"/>
              </w:rPr>
            </w:pPr>
            <w:r>
              <w:rPr>
                <w:rFonts w:hint="default" w:ascii="Times New Roman" w:hAnsi="Times New Roman" w:cs="Times New Roman"/>
                <w:color w:val="auto"/>
                <w:szCs w:val="21"/>
                <w:highlight w:val="none"/>
              </w:rPr>
              <w:t>本项目总投资</w:t>
            </w:r>
            <w:r>
              <w:rPr>
                <w:rFonts w:hint="default" w:ascii="Times New Roman" w:hAnsi="Times New Roman" w:cs="Times New Roman"/>
                <w:color w:val="auto"/>
                <w:szCs w:val="21"/>
                <w:highlight w:val="none"/>
                <w:lang w:val="en-US" w:eastAsia="zh-CN"/>
              </w:rPr>
              <w:t>100</w:t>
            </w:r>
            <w:r>
              <w:rPr>
                <w:rFonts w:hint="default" w:ascii="Times New Roman" w:hAnsi="Times New Roman" w:cs="Times New Roman"/>
                <w:color w:val="auto"/>
                <w:szCs w:val="21"/>
                <w:highlight w:val="none"/>
              </w:rPr>
              <w:t>万元，其中环保投资</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万元，占总投资的</w:t>
            </w:r>
            <w:r>
              <w:rPr>
                <w:rFonts w:hint="default" w:ascii="Times New Roman" w:hAnsi="Times New Roman" w:cs="Times New Roman"/>
                <w:color w:val="auto"/>
                <w:szCs w:val="21"/>
                <w:highlight w:val="none"/>
                <w:lang w:val="en-US" w:eastAsia="zh-CN"/>
              </w:rPr>
              <w:t>10</w:t>
            </w:r>
            <w:r>
              <w:rPr>
                <w:rFonts w:hint="default" w:ascii="Times New Roman" w:hAnsi="Times New Roman" w:cs="Times New Roman"/>
                <w:color w:val="auto"/>
                <w:szCs w:val="21"/>
                <w:highlight w:val="none"/>
              </w:rPr>
              <w:t>%，详见表2-</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w:t>
            </w:r>
          </w:p>
          <w:p w14:paraId="05CC093E">
            <w:pPr>
              <w:ind w:firstLine="422" w:firstLineChars="200"/>
              <w:jc w:val="center"/>
              <w:rPr>
                <w:rFonts w:hint="default" w:ascii="Times New Roman" w:hAnsi="Times New Roman" w:cs="Times New Roman"/>
                <w:b/>
                <w:color w:val="auto"/>
                <w:sz w:val="24"/>
                <w:szCs w:val="28"/>
                <w:highlight w:val="none"/>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6</w:t>
            </w:r>
            <w:r>
              <w:rPr>
                <w:rFonts w:hint="default" w:ascii="Times New Roman" w:hAnsi="Times New Roman" w:cs="Times New Roman"/>
                <w:b/>
                <w:color w:val="auto"/>
                <w:szCs w:val="21"/>
                <w:highlight w:val="none"/>
              </w:rPr>
              <w:t xml:space="preserve">  环保投资一览表</w:t>
            </w:r>
          </w:p>
          <w:tbl>
            <w:tblPr>
              <w:tblStyle w:val="1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2126"/>
              <w:gridCol w:w="2361"/>
              <w:gridCol w:w="1891"/>
            </w:tblGrid>
            <w:tr w14:paraId="46AD76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noWrap w:val="0"/>
                  <w:vAlign w:val="center"/>
                </w:tcPr>
                <w:p w14:paraId="2C785034">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2126" w:type="dxa"/>
                  <w:noWrap w:val="0"/>
                  <w:vAlign w:val="center"/>
                </w:tcPr>
                <w:p w14:paraId="69BD3930">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处理项目</w:t>
                  </w:r>
                </w:p>
              </w:tc>
              <w:tc>
                <w:tcPr>
                  <w:tcW w:w="2361" w:type="dxa"/>
                  <w:noWrap w:val="0"/>
                  <w:vAlign w:val="center"/>
                </w:tcPr>
                <w:p w14:paraId="2580E49F">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处理措施</w:t>
                  </w:r>
                </w:p>
              </w:tc>
              <w:tc>
                <w:tcPr>
                  <w:tcW w:w="1891" w:type="dxa"/>
                  <w:noWrap w:val="0"/>
                  <w:vAlign w:val="center"/>
                </w:tcPr>
                <w:p w14:paraId="7B7385F8">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投资（万元）</w:t>
                  </w:r>
                </w:p>
              </w:tc>
            </w:tr>
            <w:tr w14:paraId="79C333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noWrap w:val="0"/>
                  <w:vAlign w:val="center"/>
                </w:tcPr>
                <w:p w14:paraId="3F32319C">
                  <w:pPr>
                    <w:pStyle w:val="25"/>
                    <w:spacing w:line="240" w:lineRule="auto"/>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rPr>
                    <w:t>1</w:t>
                  </w:r>
                </w:p>
              </w:tc>
              <w:tc>
                <w:tcPr>
                  <w:tcW w:w="2126" w:type="dxa"/>
                  <w:noWrap w:val="0"/>
                  <w:vAlign w:val="center"/>
                </w:tcPr>
                <w:p w14:paraId="30079A3E">
                  <w:pPr>
                    <w:pStyle w:val="25"/>
                    <w:spacing w:line="240" w:lineRule="auto"/>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rPr>
                    <w:t>大气</w:t>
                  </w:r>
                </w:p>
              </w:tc>
              <w:tc>
                <w:tcPr>
                  <w:tcW w:w="2361" w:type="dxa"/>
                  <w:noWrap w:val="0"/>
                  <w:vAlign w:val="center"/>
                </w:tcPr>
                <w:p w14:paraId="2897B540">
                  <w:pPr>
                    <w:pStyle w:val="25"/>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旋风+</w:t>
                  </w:r>
                  <w:r>
                    <w:rPr>
                      <w:rFonts w:hint="default" w:ascii="Times New Roman" w:hAnsi="Times New Roman" w:cs="Times New Roman"/>
                      <w:color w:val="auto"/>
                      <w:sz w:val="18"/>
                      <w:szCs w:val="18"/>
                      <w:highlight w:val="none"/>
                      <w:lang w:val="en-US" w:eastAsia="zh-CN"/>
                    </w:rPr>
                    <w:t>布袋除尘器</w:t>
                  </w:r>
                  <w:r>
                    <w:rPr>
                      <w:rFonts w:hint="default" w:ascii="Times New Roman" w:hAnsi="Times New Roman" w:cs="Times New Roman"/>
                      <w:color w:val="auto"/>
                      <w:sz w:val="18"/>
                      <w:szCs w:val="18"/>
                      <w:highlight w:val="none"/>
                      <w:lang w:val="en-US"/>
                    </w:rPr>
                    <w:t>、</w:t>
                  </w:r>
                  <w:r>
                    <w:rPr>
                      <w:rFonts w:hint="default" w:ascii="Times New Roman" w:hAnsi="Times New Roman" w:cs="Times New Roman"/>
                      <w:color w:val="auto"/>
                      <w:sz w:val="18"/>
                      <w:szCs w:val="18"/>
                      <w:highlight w:val="none"/>
                      <w:lang w:val="en-US" w:eastAsia="zh-CN"/>
                    </w:rPr>
                    <w:t>30m烟囱</w:t>
                  </w:r>
                </w:p>
              </w:tc>
              <w:tc>
                <w:tcPr>
                  <w:tcW w:w="1891" w:type="dxa"/>
                  <w:noWrap w:val="0"/>
                  <w:vAlign w:val="center"/>
                </w:tcPr>
                <w:p w14:paraId="78D63B23">
                  <w:pPr>
                    <w:pStyle w:val="25"/>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w:t>
                  </w:r>
                </w:p>
              </w:tc>
            </w:tr>
            <w:tr w14:paraId="6F935E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shd w:val="clear" w:color="auto" w:fill="auto"/>
                  <w:noWrap w:val="0"/>
                  <w:vAlign w:val="center"/>
                </w:tcPr>
                <w:p w14:paraId="53C1FE41">
                  <w:pPr>
                    <w:pStyle w:val="25"/>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w:t>
                  </w:r>
                </w:p>
              </w:tc>
              <w:tc>
                <w:tcPr>
                  <w:tcW w:w="2126" w:type="dxa"/>
                  <w:noWrap w:val="0"/>
                  <w:vAlign w:val="center"/>
                </w:tcPr>
                <w:p w14:paraId="65B36B15">
                  <w:pPr>
                    <w:pStyle w:val="25"/>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废水</w:t>
                  </w:r>
                </w:p>
              </w:tc>
              <w:tc>
                <w:tcPr>
                  <w:tcW w:w="2361" w:type="dxa"/>
                  <w:noWrap w:val="0"/>
                  <w:vAlign w:val="center"/>
                </w:tcPr>
                <w:p w14:paraId="1D3C3F5C">
                  <w:pPr>
                    <w:pStyle w:val="25"/>
                    <w:spacing w:line="240" w:lineRule="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防渗储池</w:t>
                  </w:r>
                </w:p>
              </w:tc>
              <w:tc>
                <w:tcPr>
                  <w:tcW w:w="1891" w:type="dxa"/>
                  <w:noWrap w:val="0"/>
                  <w:vAlign w:val="center"/>
                </w:tcPr>
                <w:p w14:paraId="1BA521B7">
                  <w:pPr>
                    <w:pStyle w:val="25"/>
                    <w:spacing w:line="240" w:lineRule="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14:paraId="040472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shd w:val="clear" w:color="auto" w:fill="auto"/>
                  <w:noWrap w:val="0"/>
                  <w:vAlign w:val="center"/>
                </w:tcPr>
                <w:p w14:paraId="7DDB3B0B">
                  <w:pPr>
                    <w:pStyle w:val="25"/>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rPr>
                    <w:t>3</w:t>
                  </w:r>
                </w:p>
              </w:tc>
              <w:tc>
                <w:tcPr>
                  <w:tcW w:w="2126" w:type="dxa"/>
                  <w:noWrap w:val="0"/>
                  <w:vAlign w:val="center"/>
                </w:tcPr>
                <w:p w14:paraId="50CFDD54">
                  <w:pPr>
                    <w:pStyle w:val="25"/>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固废</w:t>
                  </w:r>
                </w:p>
              </w:tc>
              <w:tc>
                <w:tcPr>
                  <w:tcW w:w="2361" w:type="dxa"/>
                  <w:noWrap w:val="0"/>
                  <w:vAlign w:val="center"/>
                </w:tcPr>
                <w:p w14:paraId="694EE801">
                  <w:pPr>
                    <w:pStyle w:val="25"/>
                    <w:spacing w:line="240" w:lineRule="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生活垃圾桶、生物质储存间、灰渣间</w:t>
                  </w:r>
                </w:p>
              </w:tc>
              <w:tc>
                <w:tcPr>
                  <w:tcW w:w="1891" w:type="dxa"/>
                  <w:noWrap w:val="0"/>
                  <w:vAlign w:val="center"/>
                </w:tcPr>
                <w:p w14:paraId="5C0405CE">
                  <w:pPr>
                    <w:pStyle w:val="25"/>
                    <w:spacing w:line="240" w:lineRule="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w:t>
                  </w:r>
                </w:p>
              </w:tc>
            </w:tr>
            <w:tr w14:paraId="308AB2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shd w:val="clear" w:color="auto" w:fill="auto"/>
                  <w:noWrap w:val="0"/>
                  <w:vAlign w:val="center"/>
                </w:tcPr>
                <w:p w14:paraId="7FF2B692">
                  <w:pPr>
                    <w:pStyle w:val="25"/>
                    <w:spacing w:line="240" w:lineRule="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w:t>
                  </w:r>
                </w:p>
              </w:tc>
              <w:tc>
                <w:tcPr>
                  <w:tcW w:w="2126" w:type="dxa"/>
                  <w:noWrap w:val="0"/>
                  <w:vAlign w:val="center"/>
                </w:tcPr>
                <w:p w14:paraId="402AA22D">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rPr>
                    <w:t>噪声</w:t>
                  </w:r>
                </w:p>
              </w:tc>
              <w:tc>
                <w:tcPr>
                  <w:tcW w:w="2361" w:type="dxa"/>
                  <w:noWrap w:val="0"/>
                  <w:vAlign w:val="center"/>
                </w:tcPr>
                <w:p w14:paraId="79AB85AE">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低噪声设备</w:t>
                  </w:r>
                </w:p>
              </w:tc>
              <w:tc>
                <w:tcPr>
                  <w:tcW w:w="1891" w:type="dxa"/>
                  <w:noWrap w:val="0"/>
                  <w:vAlign w:val="center"/>
                </w:tcPr>
                <w:p w14:paraId="0AC9EF52">
                  <w:pPr>
                    <w:pStyle w:val="25"/>
                    <w:spacing w:line="240" w:lineRule="auto"/>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rPr>
                    <w:t>1</w:t>
                  </w:r>
                </w:p>
              </w:tc>
            </w:tr>
            <w:tr w14:paraId="2342B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shd w:val="clear" w:color="auto" w:fill="auto"/>
                  <w:noWrap w:val="0"/>
                  <w:vAlign w:val="center"/>
                </w:tcPr>
                <w:p w14:paraId="5A9332A3">
                  <w:pPr>
                    <w:pStyle w:val="25"/>
                    <w:spacing w:line="240" w:lineRule="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bidi="ar-SA"/>
                    </w:rPr>
                    <w:t>5</w:t>
                  </w:r>
                </w:p>
              </w:tc>
              <w:tc>
                <w:tcPr>
                  <w:tcW w:w="4487" w:type="dxa"/>
                  <w:gridSpan w:val="2"/>
                  <w:noWrap w:val="0"/>
                  <w:vAlign w:val="center"/>
                </w:tcPr>
                <w:p w14:paraId="3767DC36">
                  <w:pPr>
                    <w:pStyle w:val="25"/>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防渗、硬化地面</w:t>
                  </w:r>
                </w:p>
              </w:tc>
              <w:tc>
                <w:tcPr>
                  <w:tcW w:w="1891" w:type="dxa"/>
                  <w:noWrap w:val="0"/>
                  <w:vAlign w:val="center"/>
                </w:tcPr>
                <w:p w14:paraId="6E8A19BC">
                  <w:pPr>
                    <w:pStyle w:val="25"/>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r>
            <w:tr w14:paraId="03A75C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noWrap w:val="0"/>
                  <w:vAlign w:val="center"/>
                </w:tcPr>
                <w:p w14:paraId="3DF95A6B">
                  <w:pPr>
                    <w:pStyle w:val="25"/>
                    <w:spacing w:line="240" w:lineRule="auto"/>
                    <w:rPr>
                      <w:rFonts w:hint="default" w:ascii="Times New Roman" w:hAnsi="Times New Roman" w:eastAsia="宋体" w:cs="Times New Roman"/>
                      <w:color w:val="auto"/>
                      <w:sz w:val="18"/>
                      <w:szCs w:val="18"/>
                      <w:highlight w:val="none"/>
                      <w:lang w:val="en-US" w:eastAsia="zh-CN"/>
                    </w:rPr>
                  </w:pPr>
                </w:p>
              </w:tc>
              <w:tc>
                <w:tcPr>
                  <w:tcW w:w="4487" w:type="dxa"/>
                  <w:gridSpan w:val="2"/>
                  <w:noWrap w:val="0"/>
                  <w:vAlign w:val="center"/>
                </w:tcPr>
                <w:p w14:paraId="3AE85A06">
                  <w:pPr>
                    <w:pStyle w:val="25"/>
                    <w:spacing w:line="240" w:lineRule="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设备运维及监测费用</w:t>
                  </w:r>
                </w:p>
              </w:tc>
              <w:tc>
                <w:tcPr>
                  <w:tcW w:w="1891" w:type="dxa"/>
                  <w:noWrap w:val="0"/>
                  <w:vAlign w:val="center"/>
                </w:tcPr>
                <w:p w14:paraId="2E55AC6B">
                  <w:pPr>
                    <w:pStyle w:val="25"/>
                    <w:spacing w:line="240" w:lineRule="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r>
            <w:tr w14:paraId="403AEE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126" w:type="dxa"/>
                  <w:noWrap w:val="0"/>
                  <w:vAlign w:val="center"/>
                </w:tcPr>
                <w:p w14:paraId="55CB23B4">
                  <w:pPr>
                    <w:pStyle w:val="25"/>
                    <w:spacing w:line="240" w:lineRule="auto"/>
                    <w:rPr>
                      <w:rFonts w:hint="default" w:ascii="Times New Roman" w:hAnsi="Times New Roman" w:cs="Times New Roman"/>
                      <w:color w:val="auto"/>
                      <w:kern w:val="0"/>
                      <w:sz w:val="18"/>
                      <w:szCs w:val="18"/>
                      <w:highlight w:val="none"/>
                      <w:lang w:val="en-US" w:eastAsia="zh-CN" w:bidi="ar-SA"/>
                    </w:rPr>
                  </w:pPr>
                </w:p>
              </w:tc>
              <w:tc>
                <w:tcPr>
                  <w:tcW w:w="4487" w:type="dxa"/>
                  <w:gridSpan w:val="2"/>
                  <w:noWrap w:val="0"/>
                  <w:vAlign w:val="center"/>
                </w:tcPr>
                <w:p w14:paraId="5747C587">
                  <w:pPr>
                    <w:pStyle w:val="25"/>
                    <w:spacing w:line="240" w:lineRule="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总计</w:t>
                  </w:r>
                </w:p>
              </w:tc>
              <w:tc>
                <w:tcPr>
                  <w:tcW w:w="1891" w:type="dxa"/>
                  <w:noWrap w:val="0"/>
                  <w:vAlign w:val="center"/>
                </w:tcPr>
                <w:p w14:paraId="3F964A6E">
                  <w:pPr>
                    <w:pStyle w:val="25"/>
                    <w:spacing w:line="240" w:lineRule="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r>
          </w:tbl>
          <w:p w14:paraId="7D266404">
            <w:pPr>
              <w:adjustRightInd w:val="0"/>
              <w:snapToGrid w:val="0"/>
              <w:ind w:firstLine="422" w:firstLineChars="200"/>
              <w:rPr>
                <w:rFonts w:hint="default" w:ascii="Times New Roman" w:hAnsi="Times New Roman" w:cs="Times New Roman"/>
                <w:b/>
                <w:color w:val="auto"/>
                <w:szCs w:val="21"/>
                <w:highlight w:val="none"/>
              </w:rPr>
            </w:pPr>
          </w:p>
          <w:p w14:paraId="7B6B6BD8">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val="en-US" w:eastAsia="zh-CN"/>
              </w:rPr>
              <w:t>7</w:t>
            </w:r>
            <w:r>
              <w:rPr>
                <w:rFonts w:hint="default" w:ascii="Times New Roman" w:hAnsi="Times New Roman" w:cs="Times New Roman"/>
                <w:b/>
                <w:color w:val="auto"/>
                <w:szCs w:val="21"/>
                <w:highlight w:val="none"/>
              </w:rPr>
              <w:t>、平面布置</w:t>
            </w:r>
          </w:p>
          <w:p w14:paraId="0063A541">
            <w:pPr>
              <w:adjustRightInd w:val="0"/>
              <w:snapToGrid w:val="0"/>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eastAsia="zh-CN"/>
              </w:rPr>
              <w:t>本项目锅炉房及加工车间位于厂区中部，包装间及冷藏间位于厂区西南侧，灰渣间及生物质储存间位于厂区东北侧，生物质储存间位于灰渣间南侧</w:t>
            </w:r>
            <w:r>
              <w:rPr>
                <w:rFonts w:hint="default" w:ascii="Times New Roman" w:hAnsi="Times New Roman" w:cs="Times New Roman"/>
                <w:bCs/>
                <w:color w:val="auto"/>
                <w:szCs w:val="21"/>
                <w:highlight w:val="none"/>
              </w:rPr>
              <w:t>。详见附图2。</w:t>
            </w:r>
          </w:p>
        </w:tc>
      </w:tr>
      <w:tr w14:paraId="0999C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441" w:type="dxa"/>
            <w:noWrap w:val="0"/>
            <w:vAlign w:val="center"/>
          </w:tcPr>
          <w:p w14:paraId="2459DC8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工艺流程和产排污环节</w:t>
            </w:r>
          </w:p>
        </w:tc>
        <w:tc>
          <w:tcPr>
            <w:tcW w:w="8619" w:type="dxa"/>
            <w:noWrap w:val="0"/>
            <w:vAlign w:val="top"/>
          </w:tcPr>
          <w:p w14:paraId="5FE9E03E">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lang w:eastAsia="zh-CN"/>
              </w:rPr>
              <w:t>一</w:t>
            </w:r>
            <w:r>
              <w:rPr>
                <w:rFonts w:hint="default" w:ascii="Times New Roman" w:hAnsi="Times New Roman" w:cs="Times New Roman"/>
                <w:b/>
                <w:color w:val="auto"/>
                <w:szCs w:val="21"/>
                <w:highlight w:val="none"/>
              </w:rPr>
              <w:t>、运营期流程说明</w:t>
            </w:r>
          </w:p>
          <w:p w14:paraId="1CC23E57">
            <w:pPr>
              <w:adjustRightInd w:val="0"/>
              <w:snapToGrid w:val="0"/>
              <w:spacing w:line="360" w:lineRule="auto"/>
              <w:ind w:firstLine="42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工艺流程简述：</w:t>
            </w:r>
          </w:p>
          <w:p w14:paraId="3EDBE695">
            <w:pPr>
              <w:adjustRightInd w:val="0"/>
              <w:snapToGrid w:val="0"/>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6" o:spt="75" type="#_x0000_t75" style="height:149.25pt;width:228.6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14:paraId="4A3BC72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图2-</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本项目</w:t>
            </w:r>
            <w:r>
              <w:rPr>
                <w:rFonts w:hint="default" w:ascii="Times New Roman" w:hAnsi="Times New Roman" w:cs="Times New Roman"/>
                <w:b/>
                <w:color w:val="auto"/>
                <w:szCs w:val="21"/>
                <w:highlight w:val="none"/>
                <w:lang w:eastAsia="zh-CN"/>
              </w:rPr>
              <w:t>锅炉</w:t>
            </w:r>
            <w:r>
              <w:rPr>
                <w:rFonts w:hint="default" w:ascii="Times New Roman" w:hAnsi="Times New Roman" w:cs="Times New Roman"/>
                <w:b/>
                <w:color w:val="auto"/>
                <w:szCs w:val="21"/>
                <w:highlight w:val="none"/>
              </w:rPr>
              <w:t>工艺流程及产污节点图</w:t>
            </w:r>
          </w:p>
          <w:p w14:paraId="25E9D6AF">
            <w:pPr>
              <w:pStyle w:val="2"/>
              <w:jc w:val="center"/>
              <w:rPr>
                <w:rFonts w:hint="default" w:ascii="Times New Roman" w:hAnsi="Times New Roman" w:cs="Times New Roman"/>
                <w:highlight w:val="none"/>
              </w:rPr>
            </w:pPr>
            <w:r>
              <w:rPr>
                <w:rFonts w:hint="default" w:ascii="Times New Roman" w:hAnsi="Times New Roman" w:cs="Times New Roman"/>
                <w:highlight w:val="none"/>
              </w:rPr>
              <w:object>
                <v:shape id="_x0000_i1027" o:spt="75" type="#_x0000_t75" style="height:313.45pt;width:116pt;" o:ole="t" filled="f" o:preferrelative="t" stroked="f" coordsize="21600,21600">
                  <v:path/>
                  <v:fill on="f" focussize="0,0"/>
                  <v:stroke on="f"/>
                  <v:imagedata r:id="rId14" o:title=""/>
                  <o:lock v:ext="edit" aspectratio="t"/>
                  <w10:wrap type="none"/>
                  <w10:anchorlock/>
                </v:shape>
                <o:OLEObject Type="Embed" ProgID="Visio.Drawing.15" ShapeID="_x0000_i1027" DrawAspect="Content" ObjectID="_1468075727" r:id="rId13">
                  <o:LockedField>false</o:LockedField>
                </o:OLEObject>
              </w:object>
            </w:r>
          </w:p>
          <w:p w14:paraId="5A1ED8D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图2-3玉米饼工艺流程及产污节点图</w:t>
            </w:r>
          </w:p>
          <w:p w14:paraId="183EC177">
            <w:pPr>
              <w:pStyle w:val="2"/>
              <w:jc w:val="center"/>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sz w:val="21"/>
                <w:szCs w:val="21"/>
                <w:highlight w:val="none"/>
              </w:rPr>
              <w:object>
                <v:shape id="_x0000_i1028" o:spt="75" type="#_x0000_t75" style="height:283pt;width:390.85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14:paraId="67AB0100">
            <w:pPr>
              <w:jc w:val="center"/>
              <w:rPr>
                <w:rFonts w:hint="default" w:ascii="Times New Roman" w:hAnsi="Times New Roman" w:cs="Times New Roman"/>
                <w:highlight w:val="none"/>
              </w:rPr>
            </w:pPr>
            <w:r>
              <w:rPr>
                <w:rFonts w:hint="default" w:ascii="Times New Roman" w:hAnsi="Times New Roman" w:eastAsia="宋体" w:cs="Times New Roman"/>
                <w:b/>
                <w:bCs/>
                <w:color w:val="auto"/>
                <w:szCs w:val="21"/>
                <w:highlight w:val="none"/>
              </w:rPr>
              <w:t>图2-</w:t>
            </w:r>
            <w:r>
              <w:rPr>
                <w:rFonts w:hint="default" w:ascii="Times New Roman" w:hAnsi="Times New Roman" w:eastAsia="宋体" w:cs="Times New Roman"/>
                <w:b/>
                <w:bCs/>
                <w:color w:val="auto"/>
                <w:szCs w:val="21"/>
                <w:highlight w:val="none"/>
                <w:lang w:val="en-US" w:eastAsia="zh-CN"/>
              </w:rPr>
              <w:t>4  速冻</w:t>
            </w:r>
            <w:r>
              <w:rPr>
                <w:rFonts w:hint="default" w:ascii="Times New Roman" w:hAnsi="Times New Roman" w:eastAsia="宋体" w:cs="Times New Roman"/>
                <w:b/>
                <w:bCs/>
                <w:color w:val="auto"/>
                <w:szCs w:val="21"/>
                <w:highlight w:val="none"/>
                <w:lang w:eastAsia="zh-CN"/>
              </w:rPr>
              <w:t>玉米</w:t>
            </w:r>
            <w:r>
              <w:rPr>
                <w:rFonts w:hint="default" w:ascii="Times New Roman" w:hAnsi="Times New Roman" w:eastAsia="宋体" w:cs="Times New Roman"/>
                <w:b/>
                <w:color w:val="auto"/>
                <w:szCs w:val="21"/>
                <w:highlight w:val="none"/>
              </w:rPr>
              <w:t>工艺</w:t>
            </w:r>
            <w:r>
              <w:rPr>
                <w:rFonts w:hint="default" w:ascii="Times New Roman" w:hAnsi="Times New Roman" w:eastAsia="宋体" w:cs="Times New Roman"/>
                <w:b/>
                <w:bCs/>
                <w:color w:val="auto"/>
                <w:szCs w:val="21"/>
                <w:highlight w:val="none"/>
              </w:rPr>
              <w:t>流程及产排污节点图</w:t>
            </w:r>
          </w:p>
          <w:p w14:paraId="48582B8C">
            <w:pPr>
              <w:rPr>
                <w:rFonts w:hint="default" w:ascii="Times New Roman" w:hAnsi="Times New Roman" w:cs="Times New Roman"/>
                <w:highlight w:val="none"/>
              </w:rPr>
            </w:pPr>
          </w:p>
          <w:p w14:paraId="4D99A863">
            <w:pPr>
              <w:spacing w:line="360" w:lineRule="auto"/>
              <w:ind w:firstLine="420" w:firstLineChars="200"/>
              <w:jc w:val="left"/>
              <w:rPr>
                <w:rFonts w:hint="default" w:ascii="Times New Roman" w:hAnsi="Times New Roman" w:cs="Times New Roman"/>
                <w:b w:val="0"/>
                <w:bCs/>
                <w:sz w:val="21"/>
                <w:szCs w:val="21"/>
                <w:highlight w:val="none"/>
                <w:lang w:eastAsia="zh-CN"/>
              </w:rPr>
            </w:pPr>
            <w:r>
              <w:rPr>
                <w:rFonts w:hint="default" w:ascii="Times New Roman" w:hAnsi="Times New Roman" w:cs="Times New Roman"/>
                <w:b w:val="0"/>
                <w:bCs/>
                <w:sz w:val="21"/>
                <w:szCs w:val="21"/>
                <w:highlight w:val="none"/>
                <w:lang w:eastAsia="zh-CN"/>
              </w:rPr>
              <w:t>玉米饼生产工艺：</w:t>
            </w:r>
          </w:p>
          <w:p w14:paraId="28E5150A">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（1）鲜玉米采摘、处理</w:t>
            </w:r>
          </w:p>
          <w:p w14:paraId="59B64B16">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采摘的鲜玉米进行摘胡子、切尖、剥皮、脱粒。原料采摘后应尽快带壳运输到厂，由于玉米在采摘后发热强烈并会很快地失去香味，所以应立即进行加工或暂存于1-3℃的冷库中。</w:t>
            </w:r>
          </w:p>
          <w:p w14:paraId="22EB5E02">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（2）清洗</w:t>
            </w:r>
          </w:p>
          <w:p w14:paraId="0AD19463">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对玉米进行清洗，以达到除去玉来须和其他杂质的目的。</w:t>
            </w:r>
          </w:p>
          <w:p w14:paraId="6A27E324">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（3）掐浆、调制、包制</w:t>
            </w:r>
          </w:p>
          <w:p w14:paraId="310F136B">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使用磨板人工将玉米制成玉米浆</w:t>
            </w:r>
            <w:r>
              <w:rPr>
                <w:rFonts w:hint="default" w:ascii="Times New Roman" w:hAnsi="Times New Roman" w:cs="Times New Roman"/>
                <w:b w:val="0"/>
                <w:bCs/>
                <w:sz w:val="21"/>
                <w:szCs w:val="21"/>
                <w:highlight w:val="none"/>
                <w:lang w:val="en-US" w:eastAsia="zh-CN"/>
              </w:rPr>
              <w:t>，按照比例分别加入葱、油、盐，进行调味，人工包制。</w:t>
            </w:r>
          </w:p>
          <w:p w14:paraId="3C07C75E">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（4）蒸煮</w:t>
            </w:r>
          </w:p>
          <w:p w14:paraId="4BD4F62A">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本项目采用蒸汽锅炉的蒸汽蒸玉米饼。</w:t>
            </w:r>
          </w:p>
          <w:p w14:paraId="3A8BD307">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（5）速冻</w:t>
            </w:r>
          </w:p>
          <w:p w14:paraId="5CAE7A8A">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将蒸煮后的产品冷却至室温，再沥除表面附着的水，然后将原料摆入托盘，进入速冻间进行速冻。</w:t>
            </w:r>
          </w:p>
          <w:p w14:paraId="524644A9">
            <w:pPr>
              <w:spacing w:line="360" w:lineRule="auto"/>
              <w:ind w:firstLine="420" w:firstLineChars="200"/>
              <w:jc w:val="left"/>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（6）包装、检验</w:t>
            </w:r>
          </w:p>
          <w:p w14:paraId="34395BD7">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将速冻所得产品送入包装机。在低温环境下进行包装。速冻玉米饼每两支装入一袋进行真空包装，采用人工进行漏气检验。</w:t>
            </w:r>
          </w:p>
          <w:p w14:paraId="0C9DAD3B">
            <w:pPr>
              <w:spacing w:line="360" w:lineRule="auto"/>
              <w:ind w:firstLine="420" w:firstLineChars="200"/>
              <w:jc w:val="left"/>
              <w:rPr>
                <w:rFonts w:hint="default" w:ascii="Times New Roman" w:hAnsi="Times New Roman" w:cs="Times New Roman"/>
                <w:b w:val="0"/>
                <w:bCs/>
                <w:sz w:val="21"/>
                <w:szCs w:val="21"/>
                <w:highlight w:val="none"/>
                <w:lang w:eastAsia="zh-CN"/>
              </w:rPr>
            </w:pPr>
            <w:r>
              <w:rPr>
                <w:rFonts w:hint="default" w:ascii="Times New Roman" w:hAnsi="Times New Roman" w:cs="Times New Roman"/>
                <w:b w:val="0"/>
                <w:bCs/>
                <w:sz w:val="21"/>
                <w:szCs w:val="21"/>
                <w:highlight w:val="none"/>
                <w:lang w:eastAsia="zh-CN"/>
              </w:rPr>
              <w:t>速冻玉米生产工艺：</w:t>
            </w:r>
          </w:p>
          <w:p w14:paraId="133DAC4F">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1、剥皮</w:t>
            </w:r>
          </w:p>
          <w:p w14:paraId="3F899937">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玉米进厂后要在阴凉处散开放置，并立即剥皮加工，剥除玉米苞叶，然后去除玉米须。此过程中产生玉米皮和玉米须、噪声。</w:t>
            </w:r>
          </w:p>
          <w:p w14:paraId="4659134E">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2、检验</w:t>
            </w:r>
          </w:p>
          <w:p w14:paraId="6205A14B">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根据产品标准，人工检验，去除畸形，短小等不能加工的果穗，同时挑出成熟度不适宜及严重脱粒、干瘪、有病虫害的青穗， 并且分级。分级后挑选出一级品和二级品经带式运输机输送到清洗工序。此过程中产生不合格的玉米果穗。</w:t>
            </w:r>
          </w:p>
          <w:p w14:paraId="1757F7D1">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3、清洗</w:t>
            </w:r>
          </w:p>
          <w:p w14:paraId="69404AA0">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 xml:space="preserve">经检验的玉米放至清洗机内进行清洗，主要清洗掉玉米穗表面少量的玉米须和泥沙，清洗过程产生清洗废水、噪声、玉米须、泥沙。 </w:t>
            </w:r>
          </w:p>
          <w:p w14:paraId="7837AD47">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4、蒸煮</w:t>
            </w:r>
          </w:p>
          <w:p w14:paraId="7776D22E">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将清洗后的玉米转入蒸锅内进行短时加热，一般水煮温度为95-100℃，时间为10-15分钟左右，热蒸汽由1台3t/h生物质锅炉提供，此过程中产生蒸煮废水、噪声、锅炉废气。</w:t>
            </w:r>
          </w:p>
          <w:p w14:paraId="254E41BA">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5、冷却</w:t>
            </w:r>
          </w:p>
          <w:p w14:paraId="72A20B51">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蒸煮后的玉米揭盖后，采用自然冷却方式，进行冷却。</w:t>
            </w:r>
          </w:p>
          <w:p w14:paraId="5870243D">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6、沥干</w:t>
            </w:r>
          </w:p>
          <w:p w14:paraId="13ECEA13">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玉米在速冻前必须进行沥干（在蒸锅内的蒸屉上沥水10分钟左右），否则会结成冰。既不美观，也不易包装，并且过多水分会多消耗电能，增加成本。</w:t>
            </w:r>
          </w:p>
          <w:p w14:paraId="2226944D">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7、修整</w:t>
            </w:r>
          </w:p>
          <w:p w14:paraId="02ED15EA">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根据企业标准的要求，将嫩玉米穗的头尾按各产品要求的长度修整。此道工序人工修整，修整后进行速冻，该过程产生固废。</w:t>
            </w:r>
          </w:p>
          <w:p w14:paraId="22789AB7">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8、速冻</w:t>
            </w:r>
          </w:p>
          <w:p w14:paraId="3AADA4CE">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速冻是确保产品质量的决定因素，速冻时间越短，产品质量越好，反之越差，该过程产生噪声。</w:t>
            </w:r>
          </w:p>
          <w:p w14:paraId="6A28291E">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9、检验</w:t>
            </w:r>
          </w:p>
          <w:p w14:paraId="0BCBC7D7">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对速冻嫩玉米穗的检验是指嫩玉米穗的外观是否符合质量标准的要求。</w:t>
            </w:r>
          </w:p>
          <w:p w14:paraId="7D1B7A8F">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10、包装成品</w:t>
            </w:r>
          </w:p>
          <w:p w14:paraId="4367F8FA">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按要求将速冻的玉米棒装入包装袋内，作为成品。此过程中产生噪声及废包装材料。</w:t>
            </w:r>
          </w:p>
          <w:p w14:paraId="699F776D">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11、装箱</w:t>
            </w:r>
          </w:p>
          <w:p w14:paraId="668533A2">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将包装好的成品进行装箱打包。</w:t>
            </w:r>
          </w:p>
          <w:p w14:paraId="395FC2D6">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12、入库存储</w:t>
            </w:r>
          </w:p>
          <w:p w14:paraId="6E37177B">
            <w:pPr>
              <w:widowControl w:val="0"/>
              <w:spacing w:line="360" w:lineRule="auto"/>
              <w:ind w:firstLine="420" w:firstLineChars="200"/>
              <w:jc w:val="both"/>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将打包好的成品进行冷藏保存。</w:t>
            </w:r>
          </w:p>
          <w:p w14:paraId="77686917">
            <w:pPr>
              <w:widowControl w:val="0"/>
              <w:spacing w:line="360" w:lineRule="auto"/>
              <w:ind w:firstLine="420" w:firstLineChars="200"/>
              <w:jc w:val="both"/>
              <w:rPr>
                <w:rFonts w:hint="default" w:ascii="Times New Roman" w:hAnsi="Times New Roman" w:eastAsia="宋体" w:cs="Times New Roman"/>
                <w:smallCaps w:val="0"/>
                <w:kern w:val="0"/>
                <w:sz w:val="21"/>
                <w:szCs w:val="18"/>
                <w:highlight w:val="none"/>
                <w:lang w:val="en-US" w:eastAsia="zh-CN" w:bidi="ar-SA"/>
              </w:rPr>
            </w:pPr>
            <w:r>
              <w:rPr>
                <w:rFonts w:hint="default" w:ascii="Times New Roman" w:hAnsi="Times New Roman" w:cs="Times New Roman"/>
                <w:b w:val="0"/>
                <w:bCs/>
                <w:sz w:val="21"/>
                <w:szCs w:val="21"/>
                <w:highlight w:val="none"/>
                <w:lang w:val="en-US" w:eastAsia="zh-CN"/>
              </w:rPr>
              <w:t>锅炉运行原理</w:t>
            </w:r>
            <w:r>
              <w:rPr>
                <w:rFonts w:hint="default" w:ascii="Times New Roman" w:hAnsi="Times New Roman" w:eastAsia="宋体" w:cs="Times New Roman"/>
                <w:smallCaps w:val="0"/>
                <w:kern w:val="0"/>
                <w:sz w:val="21"/>
                <w:szCs w:val="18"/>
                <w:highlight w:val="none"/>
                <w:lang w:val="en-US" w:eastAsia="zh-CN" w:bidi="ar-SA"/>
              </w:rPr>
              <w:t>：本项目以外购的生物质作为能源，生物质在炉排上的燃烧过程分为预热干燥区、燃烧区和燃尽区。生物质燃料由皮带输送至锅炉炉前生物质料仓中，再经皮带输送至锅炉炉排运转推动燃烧，锅炉通过生物质燃烧产生的热能直接由热网输送给供热单元，同时锅炉给水经软化处理后，由水泵供给锅炉，软化水系统主要是采用离子树脂交换除盐，对水进行软化处理，锅炉排污水及软化处理废水</w:t>
            </w:r>
            <w:r>
              <w:rPr>
                <w:rFonts w:hint="default" w:ascii="Times New Roman" w:hAnsi="Times New Roman" w:eastAsia="宋体" w:cs="Times New Roman"/>
                <w:smallCaps w:val="0"/>
                <w:kern w:val="0"/>
                <w:sz w:val="21"/>
                <w:szCs w:val="21"/>
                <w:highlight w:val="none"/>
                <w:lang w:val="en-US" w:eastAsia="zh-CN" w:bidi="ar-SA"/>
              </w:rPr>
              <w:t>排入</w:t>
            </w:r>
            <w:r>
              <w:rPr>
                <w:rFonts w:hint="default" w:ascii="Times New Roman" w:hAnsi="Times New Roman" w:cs="Times New Roman"/>
                <w:smallCaps w:val="0"/>
                <w:kern w:val="0"/>
                <w:sz w:val="21"/>
                <w:szCs w:val="21"/>
                <w:highlight w:val="none"/>
                <w:lang w:val="en-US" w:eastAsia="zh-CN" w:bidi="ar-SA"/>
              </w:rPr>
              <w:t>16m</w:t>
            </w:r>
            <w:r>
              <w:rPr>
                <w:rFonts w:hint="default" w:ascii="Times New Roman" w:hAnsi="Times New Roman" w:cs="Times New Roman"/>
                <w:smallCaps w:val="0"/>
                <w:kern w:val="0"/>
                <w:sz w:val="21"/>
                <w:szCs w:val="21"/>
                <w:highlight w:val="none"/>
                <w:vertAlign w:val="superscript"/>
                <w:lang w:val="en-US" w:eastAsia="zh-CN" w:bidi="ar-SA"/>
              </w:rPr>
              <w:t>3</w:t>
            </w:r>
            <w:r>
              <w:rPr>
                <w:rFonts w:hint="default" w:ascii="Times New Roman" w:hAnsi="Times New Roman" w:eastAsia="宋体" w:cs="Times New Roman"/>
                <w:smallCaps w:val="0"/>
                <w:kern w:val="0"/>
                <w:sz w:val="21"/>
                <w:szCs w:val="21"/>
                <w:highlight w:val="none"/>
                <w:lang w:val="en-US" w:eastAsia="zh-CN" w:bidi="ar-SA"/>
              </w:rPr>
              <w:t>防渗储池，</w:t>
            </w:r>
            <w:r>
              <w:rPr>
                <w:rFonts w:hint="default" w:ascii="Times New Roman" w:hAnsi="Times New Roman" w:cs="Times New Roman"/>
                <w:smallCaps w:val="0"/>
                <w:kern w:val="0"/>
                <w:sz w:val="21"/>
                <w:szCs w:val="21"/>
                <w:highlight w:val="none"/>
                <w:lang w:val="en-US" w:eastAsia="zh-CN" w:bidi="ar-SA"/>
              </w:rPr>
              <w:t>每五天</w:t>
            </w:r>
            <w:r>
              <w:rPr>
                <w:rFonts w:hint="default" w:ascii="Times New Roman" w:hAnsi="Times New Roman" w:eastAsia="宋体" w:cs="Times New Roman"/>
                <w:smallCaps w:val="0"/>
                <w:kern w:val="0"/>
                <w:sz w:val="21"/>
                <w:szCs w:val="21"/>
                <w:highlight w:val="none"/>
                <w:lang w:val="en-US" w:eastAsia="zh-CN" w:bidi="ar-SA"/>
              </w:rPr>
              <w:t>拉运至污水处理厂</w:t>
            </w:r>
            <w:r>
              <w:rPr>
                <w:rFonts w:hint="default" w:ascii="Times New Roman" w:hAnsi="Times New Roman" w:cs="Times New Roman"/>
                <w:smallCaps w:val="0"/>
                <w:kern w:val="0"/>
                <w:sz w:val="21"/>
                <w:szCs w:val="21"/>
                <w:highlight w:val="none"/>
                <w:lang w:val="en-US" w:eastAsia="zh-CN" w:bidi="ar-SA"/>
              </w:rPr>
              <w:t>一次</w:t>
            </w:r>
            <w:r>
              <w:rPr>
                <w:rFonts w:hint="default" w:ascii="Times New Roman" w:hAnsi="Times New Roman" w:eastAsia="宋体" w:cs="Times New Roman"/>
                <w:smallCaps w:val="0"/>
                <w:kern w:val="0"/>
                <w:sz w:val="21"/>
                <w:szCs w:val="18"/>
                <w:highlight w:val="none"/>
                <w:lang w:val="en-US" w:eastAsia="zh-CN" w:bidi="ar-SA"/>
              </w:rPr>
              <w:t>。</w:t>
            </w:r>
          </w:p>
          <w:p w14:paraId="534E1833">
            <w:pPr>
              <w:widowControl w:val="0"/>
              <w:spacing w:line="360" w:lineRule="auto"/>
              <w:ind w:firstLine="420" w:firstLineChars="200"/>
              <w:jc w:val="both"/>
              <w:rPr>
                <w:rFonts w:hint="default" w:ascii="Times New Roman" w:hAnsi="Times New Roman" w:eastAsia="宋体" w:cs="Times New Roman"/>
                <w:smallCaps w:val="0"/>
                <w:kern w:val="0"/>
                <w:sz w:val="21"/>
                <w:szCs w:val="18"/>
                <w:highlight w:val="none"/>
                <w:lang w:val="en-US" w:eastAsia="zh-CN" w:bidi="ar-SA"/>
              </w:rPr>
            </w:pPr>
            <w:r>
              <w:rPr>
                <w:rFonts w:hint="default" w:ascii="Times New Roman" w:hAnsi="Times New Roman" w:eastAsia="宋体" w:cs="Times New Roman"/>
                <w:smallCaps w:val="0"/>
                <w:kern w:val="0"/>
                <w:sz w:val="21"/>
                <w:szCs w:val="18"/>
                <w:highlight w:val="none"/>
                <w:lang w:val="en-US" w:eastAsia="zh-CN" w:bidi="ar-SA"/>
              </w:rPr>
              <w:t>软化水制备工艺原理：本项目采用离子交换原理，处理能力为去除水中的钙、镁等离子，处理能力为</w:t>
            </w:r>
            <w:r>
              <w:rPr>
                <w:rFonts w:hint="default" w:ascii="Times New Roman" w:hAnsi="Times New Roman" w:cs="Times New Roman"/>
                <w:smallCaps w:val="0"/>
                <w:kern w:val="0"/>
                <w:sz w:val="21"/>
                <w:szCs w:val="18"/>
                <w:highlight w:val="none"/>
                <w:lang w:val="en-US" w:eastAsia="zh-CN" w:bidi="ar-SA"/>
              </w:rPr>
              <w:t>3</w:t>
            </w:r>
            <w:r>
              <w:rPr>
                <w:rFonts w:hint="default" w:ascii="Times New Roman" w:hAnsi="Times New Roman" w:eastAsia="宋体" w:cs="Times New Roman"/>
                <w:smallCaps w:val="0"/>
                <w:kern w:val="0"/>
                <w:sz w:val="21"/>
                <w:szCs w:val="18"/>
                <w:highlight w:val="none"/>
                <w:lang w:val="en-US" w:eastAsia="zh-CN" w:bidi="ar-SA"/>
              </w:rPr>
              <w:t>t/h，原水通过交换器内的树脂层时，水中的易结垢的钙、镁等离子与树脂吸附的钠离子发生置换，其树脂吸附钙、镁等离子，则钠离子进入水中，交换器内产生的水为除去硬度的软化水，供生产锅炉使用。自来水→树脂罐→软化水罐（储水罐）→软化水泵→锅炉膨胀水箱→锅炉。本项目锅炉烟气经（</w:t>
            </w:r>
            <w:r>
              <w:rPr>
                <w:rFonts w:hint="default" w:ascii="Times New Roman" w:hAnsi="Times New Roman" w:cs="Times New Roman"/>
                <w:smallCaps w:val="0"/>
                <w:kern w:val="0"/>
                <w:sz w:val="21"/>
                <w:szCs w:val="18"/>
                <w:highlight w:val="none"/>
                <w:lang w:val="en-US" w:eastAsia="zh-CN" w:bidi="ar-SA"/>
              </w:rPr>
              <w:t>旋风</w:t>
            </w:r>
            <w:r>
              <w:rPr>
                <w:rFonts w:hint="default" w:ascii="Times New Roman" w:hAnsi="Times New Roman" w:eastAsia="宋体" w:cs="Times New Roman"/>
                <w:smallCaps w:val="0"/>
                <w:kern w:val="0"/>
                <w:sz w:val="21"/>
                <w:szCs w:val="18"/>
                <w:highlight w:val="none"/>
                <w:lang w:val="en-US" w:eastAsia="zh-CN" w:bidi="ar-SA"/>
              </w:rPr>
              <w:t>+</w:t>
            </w:r>
            <w:r>
              <w:rPr>
                <w:rFonts w:hint="default" w:ascii="Times New Roman" w:hAnsi="Times New Roman" w:eastAsia="宋体" w:cs="Times New Roman"/>
                <w:smallCaps w:val="0"/>
                <w:kern w:val="0"/>
                <w:sz w:val="21"/>
                <w:szCs w:val="18"/>
                <w:highlight w:val="none"/>
                <w:lang w:val="en-US" w:eastAsia="zh-CN" w:bidi="ar-SA"/>
              </w:rPr>
              <w:t>布袋）除尘器处理后由</w:t>
            </w:r>
            <w:r>
              <w:rPr>
                <w:rFonts w:hint="default" w:ascii="Times New Roman" w:hAnsi="Times New Roman" w:cs="Times New Roman"/>
                <w:smallCaps w:val="0"/>
                <w:kern w:val="0"/>
                <w:sz w:val="21"/>
                <w:szCs w:val="18"/>
                <w:highlight w:val="none"/>
                <w:lang w:val="en-US" w:eastAsia="zh-CN" w:bidi="ar-SA"/>
              </w:rPr>
              <w:t>30m</w:t>
            </w:r>
            <w:r>
              <w:rPr>
                <w:rFonts w:hint="default" w:ascii="Times New Roman" w:hAnsi="Times New Roman" w:eastAsia="宋体" w:cs="Times New Roman"/>
                <w:smallCaps w:val="0"/>
                <w:kern w:val="0"/>
                <w:sz w:val="21"/>
                <w:szCs w:val="18"/>
                <w:highlight w:val="none"/>
                <w:lang w:val="en-US" w:eastAsia="zh-CN" w:bidi="ar-SA"/>
              </w:rPr>
              <w:t>高烟囱排放，除尘效率为</w:t>
            </w:r>
            <w:r>
              <w:rPr>
                <w:rFonts w:hint="default" w:ascii="Times New Roman" w:hAnsi="Times New Roman" w:cs="Times New Roman"/>
                <w:smallCaps w:val="0"/>
                <w:kern w:val="0"/>
                <w:sz w:val="21"/>
                <w:szCs w:val="18"/>
                <w:highlight w:val="none"/>
                <w:lang w:val="en-US" w:eastAsia="zh-CN" w:bidi="ar-SA"/>
              </w:rPr>
              <w:t>99.7</w:t>
            </w:r>
            <w:r>
              <w:rPr>
                <w:rFonts w:hint="default" w:ascii="Times New Roman" w:hAnsi="Times New Roman" w:eastAsia="宋体" w:cs="Times New Roman"/>
                <w:smallCaps w:val="0"/>
                <w:kern w:val="0"/>
                <w:sz w:val="21"/>
                <w:szCs w:val="18"/>
                <w:highlight w:val="none"/>
                <w:lang w:val="en-US" w:eastAsia="zh-CN" w:bidi="ar-SA"/>
              </w:rPr>
              <w:t>%；锅炉燃烧生物质产生的灰渣集中收集后外售，当外售不畅时无偿赠送给周围农户用于堆肥；废离子交换树脂定期由家回收处理。</w:t>
            </w:r>
            <w:r>
              <w:rPr>
                <w:rFonts w:hint="default" w:ascii="Times New Roman" w:hAnsi="Times New Roman" w:cs="Times New Roman"/>
                <w:smallCaps w:val="0"/>
                <w:kern w:val="0"/>
                <w:sz w:val="21"/>
                <w:szCs w:val="18"/>
                <w:highlight w:val="none"/>
                <w:lang w:val="en-US" w:eastAsia="zh-CN" w:bidi="ar-SA"/>
              </w:rPr>
              <w:t>生产</w:t>
            </w:r>
            <w:r>
              <w:rPr>
                <w:rFonts w:hint="default" w:ascii="Times New Roman" w:hAnsi="Times New Roman" w:eastAsia="宋体" w:cs="Times New Roman"/>
                <w:smallCaps w:val="0"/>
                <w:kern w:val="0"/>
                <w:sz w:val="21"/>
                <w:szCs w:val="18"/>
                <w:highlight w:val="none"/>
                <w:lang w:val="en-US" w:eastAsia="zh-CN" w:bidi="ar-SA"/>
              </w:rPr>
              <w:t>废水</w:t>
            </w:r>
            <w:r>
              <w:rPr>
                <w:rFonts w:hint="default" w:ascii="Times New Roman" w:hAnsi="Times New Roman" w:eastAsia="宋体" w:cs="Times New Roman"/>
                <w:smallCaps w:val="0"/>
                <w:kern w:val="0"/>
                <w:sz w:val="21"/>
                <w:szCs w:val="21"/>
                <w:highlight w:val="none"/>
                <w:lang w:val="en-US" w:eastAsia="zh-CN" w:bidi="ar-SA"/>
              </w:rPr>
              <w:t>排入</w:t>
            </w:r>
            <w:r>
              <w:rPr>
                <w:rFonts w:hint="default" w:ascii="Times New Roman" w:hAnsi="Times New Roman" w:cs="Times New Roman"/>
                <w:smallCaps w:val="0"/>
                <w:kern w:val="0"/>
                <w:sz w:val="21"/>
                <w:szCs w:val="21"/>
                <w:highlight w:val="none"/>
                <w:lang w:val="en-US" w:eastAsia="zh-CN" w:bidi="ar-SA"/>
              </w:rPr>
              <w:t>16m</w:t>
            </w:r>
            <w:r>
              <w:rPr>
                <w:rFonts w:hint="default" w:ascii="Times New Roman" w:hAnsi="Times New Roman" w:cs="Times New Roman"/>
                <w:smallCaps w:val="0"/>
                <w:kern w:val="0"/>
                <w:sz w:val="21"/>
                <w:szCs w:val="21"/>
                <w:highlight w:val="none"/>
                <w:vertAlign w:val="superscript"/>
                <w:lang w:val="en-US" w:eastAsia="zh-CN" w:bidi="ar-SA"/>
              </w:rPr>
              <w:t>3</w:t>
            </w:r>
            <w:r>
              <w:rPr>
                <w:rFonts w:hint="default" w:ascii="Times New Roman" w:hAnsi="Times New Roman" w:eastAsia="宋体" w:cs="Times New Roman"/>
                <w:smallCaps w:val="0"/>
                <w:kern w:val="0"/>
                <w:sz w:val="21"/>
                <w:szCs w:val="21"/>
                <w:highlight w:val="none"/>
                <w:lang w:val="en-US" w:eastAsia="zh-CN" w:bidi="ar-SA"/>
              </w:rPr>
              <w:t>防渗储池，</w:t>
            </w:r>
            <w:r>
              <w:rPr>
                <w:rFonts w:hint="default" w:ascii="Times New Roman" w:hAnsi="Times New Roman" w:cs="Times New Roman"/>
                <w:smallCaps w:val="0"/>
                <w:kern w:val="0"/>
                <w:sz w:val="21"/>
                <w:szCs w:val="21"/>
                <w:highlight w:val="none"/>
                <w:lang w:val="en-US" w:eastAsia="zh-CN" w:bidi="ar-SA"/>
              </w:rPr>
              <w:t>每五天</w:t>
            </w:r>
            <w:r>
              <w:rPr>
                <w:rFonts w:hint="default" w:ascii="Times New Roman" w:hAnsi="Times New Roman" w:eastAsia="宋体" w:cs="Times New Roman"/>
                <w:smallCaps w:val="0"/>
                <w:kern w:val="0"/>
                <w:sz w:val="21"/>
                <w:szCs w:val="21"/>
                <w:highlight w:val="none"/>
                <w:lang w:val="en-US" w:eastAsia="zh-CN" w:bidi="ar-SA"/>
              </w:rPr>
              <w:t>拉运至污水处理厂</w:t>
            </w:r>
            <w:r>
              <w:rPr>
                <w:rFonts w:hint="default" w:ascii="Times New Roman" w:hAnsi="Times New Roman" w:cs="Times New Roman"/>
                <w:smallCaps w:val="0"/>
                <w:kern w:val="0"/>
                <w:sz w:val="21"/>
                <w:szCs w:val="21"/>
                <w:highlight w:val="none"/>
                <w:lang w:val="en-US" w:eastAsia="zh-CN" w:bidi="ar-SA"/>
              </w:rPr>
              <w:t>一次</w:t>
            </w:r>
            <w:r>
              <w:rPr>
                <w:rFonts w:hint="default" w:ascii="Times New Roman" w:hAnsi="Times New Roman" w:eastAsia="宋体" w:cs="Times New Roman"/>
                <w:smallCaps w:val="0"/>
                <w:kern w:val="0"/>
                <w:sz w:val="21"/>
                <w:szCs w:val="18"/>
                <w:highlight w:val="none"/>
                <w:lang w:val="en-US" w:eastAsia="zh-CN" w:bidi="ar-SA"/>
              </w:rPr>
              <w:t>。</w:t>
            </w:r>
          </w:p>
          <w:p w14:paraId="32EF0AF9">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both"/>
              <w:textAlignment w:val="auto"/>
              <w:rPr>
                <w:rFonts w:hint="default" w:ascii="Times New Roman" w:hAnsi="Times New Roman" w:eastAsia="宋体" w:cs="Times New Roman"/>
                <w:smallCaps w:val="0"/>
                <w:kern w:val="0"/>
                <w:sz w:val="21"/>
                <w:szCs w:val="18"/>
                <w:highlight w:val="none"/>
                <w:lang w:val="en-US" w:eastAsia="zh-CN" w:bidi="ar-SA"/>
              </w:rPr>
            </w:pPr>
            <w:r>
              <w:rPr>
                <w:rFonts w:hint="default" w:ascii="Times New Roman" w:hAnsi="Times New Roman" w:eastAsia="宋体" w:cs="Times New Roman"/>
                <w:smallCaps w:val="0"/>
                <w:kern w:val="0"/>
                <w:sz w:val="21"/>
                <w:szCs w:val="18"/>
                <w:highlight w:val="none"/>
                <w:lang w:val="en-US" w:eastAsia="zh-CN" w:bidi="ar-SA"/>
              </w:rPr>
              <w:t>除尘器清灰方式：固定滤袋用的多孔板（花板）设在箱体的上部，在每排滤袋的上方有一喷吹管，喷吹管上对着每一滤袋的中心开一压气喷射孔（嘴），喷吹管的另一端与脉冲阀、控制阀等组成的脉冲控制系统及压缩空气储气罐相连接，根据规定的时间或阻力值，按自动控制程序进行脉冲喷吹清灰。</w:t>
            </w:r>
            <w:r>
              <w:rPr>
                <w:rFonts w:hint="default" w:ascii="Times New Roman" w:hAnsi="Times New Roman" w:cs="Times New Roman"/>
                <w:smallCaps w:val="0"/>
                <w:kern w:val="0"/>
                <w:sz w:val="21"/>
                <w:szCs w:val="18"/>
                <w:highlight w:val="none"/>
                <w:lang w:val="en-US" w:eastAsia="zh-CN" w:bidi="ar-SA"/>
              </w:rPr>
              <w:t xml:space="preserve">  </w:t>
            </w:r>
          </w:p>
          <w:p w14:paraId="1AAC98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bCs/>
                <w:color w:val="auto"/>
                <w:szCs w:val="21"/>
                <w:highlight w:val="none"/>
              </w:rPr>
            </w:pP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eastAsia="zh-CN"/>
              </w:rPr>
              <w:t>燃</w:t>
            </w:r>
            <w:r>
              <w:rPr>
                <w:rFonts w:hint="default" w:ascii="Times New Roman" w:hAnsi="Times New Roman" w:cs="Times New Roman"/>
                <w:color w:val="auto"/>
                <w:highlight w:val="none"/>
              </w:rPr>
              <w:t>料为</w:t>
            </w:r>
            <w:r>
              <w:rPr>
                <w:rFonts w:hint="default" w:ascii="Times New Roman" w:hAnsi="Times New Roman" w:cs="Times New Roman"/>
                <w:color w:val="auto"/>
                <w:highlight w:val="none"/>
                <w:lang w:eastAsia="zh-CN"/>
              </w:rPr>
              <w:t>生物质颗粒</w:t>
            </w:r>
            <w:r>
              <w:rPr>
                <w:rFonts w:hint="default" w:ascii="Times New Roman" w:hAnsi="Times New Roman" w:cs="Times New Roman"/>
                <w:color w:val="auto"/>
                <w:highlight w:val="none"/>
              </w:rPr>
              <w:t>，锅炉通过燃烧</w:t>
            </w:r>
            <w:r>
              <w:rPr>
                <w:rFonts w:hint="default" w:ascii="Times New Roman" w:hAnsi="Times New Roman" w:cs="Times New Roman"/>
                <w:color w:val="auto"/>
                <w:highlight w:val="none"/>
                <w:lang w:eastAsia="zh-CN"/>
              </w:rPr>
              <w:t>生物质用于生产用热</w:t>
            </w:r>
            <w:r>
              <w:rPr>
                <w:rFonts w:hint="default" w:ascii="Times New Roman" w:hAnsi="Times New Roman" w:cs="Times New Roman"/>
                <w:color w:val="auto"/>
                <w:highlight w:val="none"/>
              </w:rPr>
              <w:t>，锅炉烟气经</w:t>
            </w:r>
            <w:r>
              <w:rPr>
                <w:rFonts w:hint="default" w:ascii="Times New Roman" w:hAnsi="Times New Roman" w:cs="Times New Roman"/>
                <w:color w:val="auto"/>
                <w:highlight w:val="none"/>
                <w:lang w:eastAsia="zh-CN"/>
              </w:rPr>
              <w:t>旋风</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布袋除尘器</w:t>
            </w:r>
            <w:r>
              <w:rPr>
                <w:rFonts w:hint="default" w:ascii="Times New Roman" w:hAnsi="Times New Roman" w:cs="Times New Roman"/>
                <w:color w:val="auto"/>
                <w:highlight w:val="none"/>
              </w:rPr>
              <w:t>处理后</w:t>
            </w:r>
            <w:r>
              <w:rPr>
                <w:rFonts w:hint="default" w:ascii="Times New Roman" w:hAnsi="Times New Roman" w:cs="Times New Roman"/>
                <w:color w:val="auto"/>
                <w:highlight w:val="none"/>
                <w:lang w:eastAsia="zh-CN"/>
              </w:rPr>
              <w:t>通过</w:t>
            </w:r>
            <w:r>
              <w:rPr>
                <w:rFonts w:hint="default" w:ascii="Times New Roman" w:hAnsi="Times New Roman" w:cs="Times New Roman"/>
                <w:color w:val="auto"/>
                <w:highlight w:val="none"/>
                <w:lang w:val="en-US" w:eastAsia="zh-CN"/>
              </w:rPr>
              <w:t>1根30</w:t>
            </w:r>
            <w:r>
              <w:rPr>
                <w:rFonts w:hint="default" w:ascii="Times New Roman" w:hAnsi="Times New Roman" w:cs="Times New Roman"/>
                <w:color w:val="auto"/>
                <w:highlight w:val="none"/>
              </w:rPr>
              <w:t>m高烟囱排放</w:t>
            </w:r>
            <w:r>
              <w:rPr>
                <w:rFonts w:hint="default" w:ascii="Times New Roman" w:hAnsi="Times New Roman" w:cs="Times New Roman"/>
                <w:bCs/>
                <w:color w:val="auto"/>
                <w:szCs w:val="21"/>
                <w:highlight w:val="none"/>
              </w:rPr>
              <w:t>。</w:t>
            </w:r>
          </w:p>
          <w:p w14:paraId="635103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本项目运营期工程主要排污节点见表2-7。</w:t>
            </w:r>
          </w:p>
          <w:p w14:paraId="21B995D1">
            <w:pPr>
              <w:widowControl w:val="0"/>
              <w:adjustRightInd w:val="0"/>
              <w:snapToGrid w:val="0"/>
              <w:spacing w:line="240" w:lineRule="auto"/>
              <w:jc w:val="center"/>
              <w:rPr>
                <w:rFonts w:hint="default" w:ascii="Times New Roman" w:hAnsi="Times New Roman" w:eastAsia="宋体" w:cs="Times New Roman"/>
                <w:b/>
                <w:bCs/>
                <w:color w:val="auto"/>
                <w:spacing w:val="0"/>
                <w:kern w:val="0"/>
                <w:sz w:val="21"/>
                <w:szCs w:val="21"/>
                <w:highlight w:val="none"/>
                <w:lang w:val="en-US" w:eastAsia="zh-CN" w:bidi="ar-SA"/>
              </w:rPr>
            </w:pPr>
            <w:r>
              <w:rPr>
                <w:rFonts w:hint="default" w:ascii="Times New Roman" w:hAnsi="Times New Roman" w:eastAsia="宋体" w:cs="Times New Roman"/>
                <w:b/>
                <w:bCs/>
                <w:color w:val="auto"/>
                <w:spacing w:val="0"/>
                <w:kern w:val="0"/>
                <w:sz w:val="21"/>
                <w:szCs w:val="21"/>
                <w:highlight w:val="none"/>
                <w:lang w:val="en-US" w:eastAsia="zh-CN" w:bidi="ar-SA"/>
              </w:rPr>
              <w:t>表2-7  本项目运营期工程主要排污节点一览表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530"/>
              <w:gridCol w:w="1708"/>
              <w:gridCol w:w="1089"/>
              <w:gridCol w:w="3378"/>
            </w:tblGrid>
            <w:tr w14:paraId="41E2C3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tcBorders>
                    <w:tl2br w:val="nil"/>
                    <w:tr2bl w:val="nil"/>
                  </w:tcBorders>
                  <w:noWrap w:val="0"/>
                  <w:vAlign w:val="center"/>
                </w:tcPr>
                <w:p w14:paraId="6816C3DB">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项目</w:t>
                  </w:r>
                </w:p>
              </w:tc>
              <w:tc>
                <w:tcPr>
                  <w:tcW w:w="1530" w:type="dxa"/>
                  <w:tcBorders>
                    <w:tl2br w:val="nil"/>
                    <w:tr2bl w:val="nil"/>
                  </w:tcBorders>
                  <w:noWrap w:val="0"/>
                  <w:vAlign w:val="center"/>
                </w:tcPr>
                <w:p w14:paraId="58FB5603">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污染源</w:t>
                  </w:r>
                </w:p>
              </w:tc>
              <w:tc>
                <w:tcPr>
                  <w:tcW w:w="1708" w:type="dxa"/>
                  <w:tcBorders>
                    <w:tl2br w:val="nil"/>
                    <w:tr2bl w:val="nil"/>
                  </w:tcBorders>
                  <w:noWrap w:val="0"/>
                  <w:vAlign w:val="center"/>
                </w:tcPr>
                <w:p w14:paraId="35D62C6B">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污染物</w:t>
                  </w:r>
                </w:p>
              </w:tc>
              <w:tc>
                <w:tcPr>
                  <w:tcW w:w="1089" w:type="dxa"/>
                  <w:tcBorders>
                    <w:tl2br w:val="nil"/>
                    <w:tr2bl w:val="nil"/>
                  </w:tcBorders>
                  <w:noWrap w:val="0"/>
                  <w:vAlign w:val="center"/>
                </w:tcPr>
                <w:p w14:paraId="05914850">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排放特点</w:t>
                  </w:r>
                </w:p>
              </w:tc>
              <w:tc>
                <w:tcPr>
                  <w:tcW w:w="3378" w:type="dxa"/>
                  <w:tcBorders>
                    <w:tl2br w:val="nil"/>
                    <w:tr2bl w:val="nil"/>
                  </w:tcBorders>
                  <w:noWrap w:val="0"/>
                  <w:vAlign w:val="center"/>
                </w:tcPr>
                <w:p w14:paraId="1C894C1F">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治理措施</w:t>
                  </w:r>
                </w:p>
              </w:tc>
            </w:tr>
            <w:tr w14:paraId="5E85AD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restart"/>
                  <w:tcBorders>
                    <w:tl2br w:val="nil"/>
                    <w:tr2bl w:val="nil"/>
                  </w:tcBorders>
                  <w:noWrap w:val="0"/>
                  <w:vAlign w:val="center"/>
                </w:tcPr>
                <w:p w14:paraId="2DC002B6">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废气</w:t>
                  </w:r>
                </w:p>
              </w:tc>
              <w:tc>
                <w:tcPr>
                  <w:tcW w:w="1530" w:type="dxa"/>
                  <w:tcBorders>
                    <w:tl2br w:val="nil"/>
                    <w:tr2bl w:val="nil"/>
                  </w:tcBorders>
                  <w:noWrap w:val="0"/>
                  <w:vAlign w:val="center"/>
                </w:tcPr>
                <w:p w14:paraId="2327786A">
                  <w:pPr>
                    <w:pStyle w:val="26"/>
                    <w:spacing w:line="240" w:lineRule="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cs="Times New Roman"/>
                      <w:color w:val="auto"/>
                      <w:spacing w:val="0"/>
                      <w:sz w:val="18"/>
                      <w:szCs w:val="18"/>
                      <w:highlight w:val="none"/>
                      <w:lang w:eastAsia="zh-CN"/>
                    </w:rPr>
                    <w:t>锅炉</w:t>
                  </w:r>
                </w:p>
              </w:tc>
              <w:tc>
                <w:tcPr>
                  <w:tcW w:w="1708" w:type="dxa"/>
                  <w:tcBorders>
                    <w:tl2br w:val="nil"/>
                    <w:tr2bl w:val="nil"/>
                  </w:tcBorders>
                  <w:noWrap w:val="0"/>
                  <w:vAlign w:val="center"/>
                </w:tcPr>
                <w:p w14:paraId="580DE5B2">
                  <w:pPr>
                    <w:pStyle w:val="26"/>
                    <w:spacing w:line="240" w:lineRule="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cs="Times New Roman"/>
                      <w:color w:val="auto"/>
                      <w:spacing w:val="0"/>
                      <w:sz w:val="18"/>
                      <w:szCs w:val="18"/>
                      <w:highlight w:val="none"/>
                      <w:lang w:val="en-US" w:eastAsia="zh-CN"/>
                    </w:rPr>
                    <w:t>颗粒物、SO</w:t>
                  </w:r>
                  <w:r>
                    <w:rPr>
                      <w:rFonts w:hint="default" w:ascii="Times New Roman" w:hAnsi="Times New Roman" w:cs="Times New Roman"/>
                      <w:color w:val="auto"/>
                      <w:spacing w:val="0"/>
                      <w:sz w:val="18"/>
                      <w:szCs w:val="18"/>
                      <w:highlight w:val="none"/>
                      <w:vertAlign w:val="subscript"/>
                      <w:lang w:val="en-US" w:eastAsia="zh-CN"/>
                    </w:rPr>
                    <w:t>2</w:t>
                  </w:r>
                  <w:r>
                    <w:rPr>
                      <w:rFonts w:hint="default" w:ascii="Times New Roman" w:hAnsi="Times New Roman" w:cs="Times New Roman"/>
                      <w:color w:val="auto"/>
                      <w:spacing w:val="0"/>
                      <w:sz w:val="18"/>
                      <w:szCs w:val="18"/>
                      <w:highlight w:val="none"/>
                      <w:lang w:val="en-US" w:eastAsia="zh-CN"/>
                    </w:rPr>
                    <w:t>、NOx、烟气黑度</w:t>
                  </w:r>
                </w:p>
              </w:tc>
              <w:tc>
                <w:tcPr>
                  <w:tcW w:w="1089" w:type="dxa"/>
                  <w:tcBorders>
                    <w:tl2br w:val="nil"/>
                    <w:tr2bl w:val="nil"/>
                  </w:tcBorders>
                  <w:noWrap w:val="0"/>
                  <w:vAlign w:val="center"/>
                </w:tcPr>
                <w:p w14:paraId="3428ED47">
                  <w:pPr>
                    <w:pStyle w:val="26"/>
                    <w:spacing w:line="240" w:lineRule="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sz w:val="18"/>
                      <w:szCs w:val="18"/>
                      <w:highlight w:val="none"/>
                    </w:rPr>
                    <w:t>连续</w:t>
                  </w:r>
                </w:p>
              </w:tc>
              <w:tc>
                <w:tcPr>
                  <w:tcW w:w="3378" w:type="dxa"/>
                  <w:tcBorders>
                    <w:tl2br w:val="nil"/>
                    <w:tr2bl w:val="nil"/>
                  </w:tcBorders>
                  <w:noWrap w:val="0"/>
                  <w:vAlign w:val="center"/>
                </w:tcPr>
                <w:p w14:paraId="6054B105">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旋风+</w:t>
                  </w:r>
                  <w:r>
                    <w:rPr>
                      <w:rFonts w:hint="default" w:ascii="Times New Roman" w:hAnsi="Times New Roman" w:cs="Times New Roman"/>
                      <w:color w:val="auto"/>
                      <w:spacing w:val="0"/>
                      <w:kern w:val="2"/>
                      <w:sz w:val="18"/>
                      <w:szCs w:val="18"/>
                      <w:highlight w:val="none"/>
                      <w:lang w:val="en-US" w:eastAsia="zh-CN" w:bidi="ar-SA"/>
                    </w:rPr>
                    <w:t>布袋除尘器</w:t>
                  </w:r>
                  <w:r>
                    <w:rPr>
                      <w:rFonts w:hint="default" w:ascii="Times New Roman" w:hAnsi="Times New Roman" w:eastAsia="宋体" w:cs="Times New Roman"/>
                      <w:color w:val="auto"/>
                      <w:spacing w:val="0"/>
                      <w:kern w:val="2"/>
                      <w:sz w:val="18"/>
                      <w:szCs w:val="18"/>
                      <w:highlight w:val="none"/>
                      <w:lang w:val="en-US" w:eastAsia="zh-CN" w:bidi="ar-SA"/>
                    </w:rPr>
                    <w:t>处理后通过1根30m高烟囱排放</w:t>
                  </w:r>
                </w:p>
              </w:tc>
            </w:tr>
            <w:tr w14:paraId="2372F9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20FFE8A8">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1B6379D7">
                  <w:pPr>
                    <w:pStyle w:val="26"/>
                    <w:spacing w:line="240" w:lineRule="auto"/>
                    <w:rPr>
                      <w:rFonts w:hint="default" w:ascii="Times New Roman" w:hAnsi="Times New Roman" w:cs="Times New Roman"/>
                      <w:color w:val="auto"/>
                      <w:spacing w:val="0"/>
                      <w:sz w:val="18"/>
                      <w:szCs w:val="18"/>
                      <w:highlight w:val="none"/>
                      <w:lang w:eastAsia="zh-CN"/>
                    </w:rPr>
                  </w:pPr>
                  <w:r>
                    <w:rPr>
                      <w:rFonts w:hint="default" w:ascii="Times New Roman" w:hAnsi="Times New Roman" w:cs="Times New Roman"/>
                      <w:color w:val="auto"/>
                      <w:spacing w:val="0"/>
                      <w:sz w:val="18"/>
                      <w:szCs w:val="18"/>
                      <w:highlight w:val="none"/>
                      <w:lang w:eastAsia="zh-CN"/>
                    </w:rPr>
                    <w:t>蒸煮</w:t>
                  </w:r>
                </w:p>
              </w:tc>
              <w:tc>
                <w:tcPr>
                  <w:tcW w:w="1708" w:type="dxa"/>
                  <w:tcBorders>
                    <w:tl2br w:val="nil"/>
                    <w:tr2bl w:val="nil"/>
                  </w:tcBorders>
                  <w:noWrap w:val="0"/>
                  <w:vAlign w:val="center"/>
                </w:tcPr>
                <w:p w14:paraId="5B46964C">
                  <w:pPr>
                    <w:pStyle w:val="26"/>
                    <w:spacing w:line="240" w:lineRule="auto"/>
                    <w:rPr>
                      <w:rFonts w:hint="default" w:ascii="Times New Roman" w:hAnsi="Times New Roman" w:cs="Times New Roman"/>
                      <w:color w:val="auto"/>
                      <w:spacing w:val="0"/>
                      <w:sz w:val="18"/>
                      <w:szCs w:val="18"/>
                      <w:highlight w:val="none"/>
                      <w:lang w:val="en-US" w:eastAsia="zh-CN"/>
                    </w:rPr>
                  </w:pPr>
                  <w:r>
                    <w:rPr>
                      <w:rFonts w:hint="default" w:ascii="Times New Roman" w:hAnsi="Times New Roman" w:cs="Times New Roman"/>
                      <w:color w:val="auto"/>
                      <w:spacing w:val="0"/>
                      <w:sz w:val="18"/>
                      <w:szCs w:val="18"/>
                      <w:highlight w:val="none"/>
                      <w:lang w:val="en-US" w:eastAsia="zh-CN"/>
                    </w:rPr>
                    <w:t>异味</w:t>
                  </w:r>
                </w:p>
              </w:tc>
              <w:tc>
                <w:tcPr>
                  <w:tcW w:w="1089" w:type="dxa"/>
                  <w:tcBorders>
                    <w:tl2br w:val="nil"/>
                    <w:tr2bl w:val="nil"/>
                  </w:tcBorders>
                  <w:noWrap w:val="0"/>
                  <w:vAlign w:val="center"/>
                </w:tcPr>
                <w:p w14:paraId="2389FA5C">
                  <w:pPr>
                    <w:spacing w:line="240" w:lineRule="auto"/>
                    <w:jc w:val="center"/>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15749515">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kern w:val="2"/>
                      <w:sz w:val="18"/>
                      <w:szCs w:val="18"/>
                      <w:highlight w:val="none"/>
                      <w:lang w:val="en-US" w:eastAsia="zh-CN" w:bidi="ar-SA"/>
                    </w:rPr>
                    <w:t>加强通风</w:t>
                  </w:r>
                </w:p>
              </w:tc>
            </w:tr>
            <w:tr w14:paraId="06AF83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restart"/>
                  <w:tcBorders>
                    <w:tl2br w:val="nil"/>
                    <w:tr2bl w:val="nil"/>
                  </w:tcBorders>
                  <w:noWrap w:val="0"/>
                  <w:vAlign w:val="center"/>
                </w:tcPr>
                <w:p w14:paraId="391F6418">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废水</w:t>
                  </w:r>
                </w:p>
              </w:tc>
              <w:tc>
                <w:tcPr>
                  <w:tcW w:w="1530" w:type="dxa"/>
                  <w:tcBorders>
                    <w:tl2br w:val="nil"/>
                    <w:tr2bl w:val="nil"/>
                  </w:tcBorders>
                  <w:noWrap w:val="0"/>
                  <w:vAlign w:val="center"/>
                </w:tcPr>
                <w:p w14:paraId="0CD1C9EC">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sz w:val="18"/>
                      <w:szCs w:val="18"/>
                      <w:highlight w:val="none"/>
                      <w:lang w:eastAsia="zh-CN"/>
                    </w:rPr>
                    <w:t>锅炉排污水</w:t>
                  </w:r>
                  <w:r>
                    <w:rPr>
                      <w:rFonts w:hint="default" w:ascii="Times New Roman" w:hAnsi="Times New Roman" w:cs="Times New Roman"/>
                      <w:color w:val="auto"/>
                      <w:spacing w:val="0"/>
                      <w:sz w:val="18"/>
                      <w:szCs w:val="18"/>
                      <w:highlight w:val="none"/>
                      <w:lang w:eastAsia="zh-CN"/>
                    </w:rPr>
                    <w:t>及软水处理废水</w:t>
                  </w:r>
                </w:p>
              </w:tc>
              <w:tc>
                <w:tcPr>
                  <w:tcW w:w="1708" w:type="dxa"/>
                  <w:tcBorders>
                    <w:tl2br w:val="nil"/>
                    <w:tr2bl w:val="nil"/>
                  </w:tcBorders>
                  <w:noWrap w:val="0"/>
                  <w:vAlign w:val="center"/>
                </w:tcPr>
                <w:p w14:paraId="52210730">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kern w:val="2"/>
                      <w:sz w:val="18"/>
                      <w:szCs w:val="18"/>
                      <w:highlight w:val="none"/>
                      <w:lang w:val="en-US" w:eastAsia="zh-CN" w:bidi="ar-SA"/>
                    </w:rPr>
                  </w:pPr>
                  <w:r>
                    <w:rPr>
                      <w:rFonts w:hint="default" w:ascii="Times New Roman" w:hAnsi="Times New Roman" w:eastAsia="宋体" w:cs="Times New Roman"/>
                      <w:color w:val="auto"/>
                      <w:spacing w:val="0"/>
                      <w:sz w:val="18"/>
                      <w:szCs w:val="18"/>
                      <w:highlight w:val="none"/>
                      <w:lang w:val="en-US" w:eastAsia="zh-CN"/>
                    </w:rPr>
                    <w:t>COD、TDS</w:t>
                  </w:r>
                </w:p>
              </w:tc>
              <w:tc>
                <w:tcPr>
                  <w:tcW w:w="1089" w:type="dxa"/>
                  <w:tcBorders>
                    <w:tl2br w:val="nil"/>
                    <w:tr2bl w:val="nil"/>
                  </w:tcBorders>
                  <w:noWrap w:val="0"/>
                  <w:vAlign w:val="center"/>
                </w:tcPr>
                <w:p w14:paraId="06E22A9B">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间断</w:t>
                  </w:r>
                </w:p>
              </w:tc>
              <w:tc>
                <w:tcPr>
                  <w:tcW w:w="3378" w:type="dxa"/>
                  <w:tcBorders>
                    <w:tl2br w:val="nil"/>
                    <w:tr2bl w:val="nil"/>
                  </w:tcBorders>
                  <w:noWrap w:val="0"/>
                  <w:vAlign w:val="center"/>
                </w:tcPr>
                <w:p w14:paraId="3250A2F7">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用于</w:t>
                  </w:r>
                  <w:r>
                    <w:rPr>
                      <w:rFonts w:hint="default" w:ascii="Times New Roman" w:hAnsi="Times New Roman" w:cs="Times New Roman"/>
                      <w:color w:val="auto"/>
                      <w:spacing w:val="0"/>
                      <w:sz w:val="18"/>
                      <w:szCs w:val="18"/>
                      <w:highlight w:val="none"/>
                      <w:lang w:eastAsia="zh-CN"/>
                    </w:rPr>
                    <w:t>灰渣、厂区内洒水降尘及厂区绿化</w:t>
                  </w:r>
                  <w:r>
                    <w:rPr>
                      <w:rFonts w:hint="default" w:ascii="Times New Roman" w:hAnsi="Times New Roman" w:eastAsia="宋体" w:cs="Times New Roman"/>
                      <w:color w:val="auto"/>
                      <w:spacing w:val="0"/>
                      <w:sz w:val="18"/>
                      <w:szCs w:val="18"/>
                      <w:highlight w:val="none"/>
                      <w:lang w:eastAsia="zh-CN"/>
                    </w:rPr>
                    <w:t>，不外排</w:t>
                  </w:r>
                </w:p>
              </w:tc>
            </w:tr>
            <w:tr w14:paraId="3733C8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0A15F2D5">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008DCFA9">
                  <w:pPr>
                    <w:pStyle w:val="26"/>
                    <w:spacing w:line="240" w:lineRule="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冷却</w:t>
                  </w:r>
                </w:p>
              </w:tc>
              <w:tc>
                <w:tcPr>
                  <w:tcW w:w="1708" w:type="dxa"/>
                  <w:tcBorders>
                    <w:tl2br w:val="nil"/>
                    <w:tr2bl w:val="nil"/>
                  </w:tcBorders>
                  <w:noWrap w:val="0"/>
                  <w:vAlign w:val="center"/>
                </w:tcPr>
                <w:p w14:paraId="3F4AB56C">
                  <w:pPr>
                    <w:pStyle w:val="26"/>
                    <w:spacing w:line="240" w:lineRule="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eastAsia="zh-CN"/>
                    </w:rPr>
                    <w:t>-</w:t>
                  </w:r>
                </w:p>
              </w:tc>
              <w:tc>
                <w:tcPr>
                  <w:tcW w:w="1089" w:type="dxa"/>
                  <w:tcBorders>
                    <w:tl2br w:val="nil"/>
                    <w:tr2bl w:val="nil"/>
                  </w:tcBorders>
                  <w:noWrap w:val="0"/>
                  <w:vAlign w:val="center"/>
                </w:tcPr>
                <w:p w14:paraId="48D0464A">
                  <w:pPr>
                    <w:pStyle w:val="26"/>
                    <w:spacing w:line="240" w:lineRule="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水蒸气</w:t>
                  </w:r>
                </w:p>
              </w:tc>
              <w:tc>
                <w:tcPr>
                  <w:tcW w:w="3378" w:type="dxa"/>
                  <w:tcBorders>
                    <w:tl2br w:val="nil"/>
                    <w:tr2bl w:val="nil"/>
                  </w:tcBorders>
                  <w:noWrap w:val="0"/>
                  <w:vAlign w:val="center"/>
                </w:tcPr>
                <w:p w14:paraId="1161A2FC">
                  <w:pPr>
                    <w:pStyle w:val="26"/>
                    <w:spacing w:line="240" w:lineRule="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r>
            <w:tr w14:paraId="70BDFA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0554270D">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0E39B539">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清洗及蒸煮废水</w:t>
                  </w:r>
                </w:p>
              </w:tc>
              <w:tc>
                <w:tcPr>
                  <w:tcW w:w="1708" w:type="dxa"/>
                  <w:tcBorders>
                    <w:tl2br w:val="nil"/>
                    <w:tr2bl w:val="nil"/>
                  </w:tcBorders>
                  <w:noWrap w:val="0"/>
                  <w:vAlign w:val="center"/>
                </w:tcPr>
                <w:p w14:paraId="41E41FDA">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lang w:val="en-US" w:eastAsia="zh-CN"/>
                    </w:rPr>
                    <w:t>COD、BOD、SS</w:t>
                  </w:r>
                </w:p>
              </w:tc>
              <w:tc>
                <w:tcPr>
                  <w:tcW w:w="1089" w:type="dxa"/>
                  <w:tcBorders>
                    <w:tl2br w:val="nil"/>
                    <w:tr2bl w:val="nil"/>
                  </w:tcBorders>
                  <w:noWrap w:val="0"/>
                  <w:vAlign w:val="center"/>
                </w:tcPr>
                <w:p w14:paraId="488DCF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35AC0712">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排入防渗储池，定期拉运至污水处理厂</w:t>
                  </w:r>
                </w:p>
              </w:tc>
            </w:tr>
            <w:tr w14:paraId="4ED893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restart"/>
                  <w:tcBorders>
                    <w:tl2br w:val="nil"/>
                    <w:tr2bl w:val="nil"/>
                  </w:tcBorders>
                  <w:noWrap w:val="0"/>
                  <w:vAlign w:val="center"/>
                </w:tcPr>
                <w:p w14:paraId="24966A45">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噪声</w:t>
                  </w:r>
                </w:p>
              </w:tc>
              <w:tc>
                <w:tcPr>
                  <w:tcW w:w="1530" w:type="dxa"/>
                  <w:tcBorders>
                    <w:tl2br w:val="nil"/>
                    <w:tr2bl w:val="nil"/>
                  </w:tcBorders>
                  <w:noWrap w:val="0"/>
                  <w:vAlign w:val="center"/>
                </w:tcPr>
                <w:p w14:paraId="5F3EEB93">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风机、水泵</w:t>
                  </w:r>
                </w:p>
              </w:tc>
              <w:tc>
                <w:tcPr>
                  <w:tcW w:w="1708" w:type="dxa"/>
                  <w:tcBorders>
                    <w:tl2br w:val="nil"/>
                    <w:tr2bl w:val="nil"/>
                  </w:tcBorders>
                  <w:noWrap w:val="0"/>
                  <w:vAlign w:val="center"/>
                </w:tcPr>
                <w:p w14:paraId="6E7E7735">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噪声</w:t>
                  </w:r>
                </w:p>
              </w:tc>
              <w:tc>
                <w:tcPr>
                  <w:tcW w:w="1089" w:type="dxa"/>
                  <w:tcBorders>
                    <w:tl2br w:val="nil"/>
                    <w:tr2bl w:val="nil"/>
                  </w:tcBorders>
                  <w:noWrap w:val="0"/>
                  <w:vAlign w:val="center"/>
                </w:tcPr>
                <w:p w14:paraId="22BD141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428F45BE">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低噪设备、减振、隔声处理</w:t>
                  </w:r>
                </w:p>
              </w:tc>
            </w:tr>
            <w:tr w14:paraId="79A410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58CEDB87">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1FAF93BF">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rPr>
                    <w:t>扒皮去须</w:t>
                  </w:r>
                </w:p>
              </w:tc>
              <w:tc>
                <w:tcPr>
                  <w:tcW w:w="1708" w:type="dxa"/>
                  <w:tcBorders>
                    <w:tl2br w:val="nil"/>
                    <w:tr2bl w:val="nil"/>
                  </w:tcBorders>
                  <w:noWrap w:val="0"/>
                  <w:vAlign w:val="center"/>
                </w:tcPr>
                <w:p w14:paraId="767AA16D">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噪声</w:t>
                  </w:r>
                </w:p>
              </w:tc>
              <w:tc>
                <w:tcPr>
                  <w:tcW w:w="1089" w:type="dxa"/>
                  <w:tcBorders>
                    <w:tl2br w:val="nil"/>
                    <w:tr2bl w:val="nil"/>
                  </w:tcBorders>
                  <w:noWrap w:val="0"/>
                  <w:vAlign w:val="center"/>
                </w:tcPr>
                <w:p w14:paraId="67524AE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35E402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低噪设备、减振、隔声处理</w:t>
                  </w:r>
                </w:p>
              </w:tc>
            </w:tr>
            <w:tr w14:paraId="69C247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6A822A7F">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12D70989">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rPr>
                    <w:t>蒸煮、冷却</w:t>
                  </w:r>
                </w:p>
              </w:tc>
              <w:tc>
                <w:tcPr>
                  <w:tcW w:w="1708" w:type="dxa"/>
                  <w:tcBorders>
                    <w:tl2br w:val="nil"/>
                    <w:tr2bl w:val="nil"/>
                  </w:tcBorders>
                  <w:noWrap w:val="0"/>
                  <w:vAlign w:val="center"/>
                </w:tcPr>
                <w:p w14:paraId="3CE54DBA">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噪声</w:t>
                  </w:r>
                </w:p>
              </w:tc>
              <w:tc>
                <w:tcPr>
                  <w:tcW w:w="1089" w:type="dxa"/>
                  <w:tcBorders>
                    <w:tl2br w:val="nil"/>
                    <w:tr2bl w:val="nil"/>
                  </w:tcBorders>
                  <w:noWrap w:val="0"/>
                  <w:vAlign w:val="center"/>
                </w:tcPr>
                <w:p w14:paraId="3D15FC1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681B6F8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低噪设备、减振、隔声处理</w:t>
                  </w:r>
                </w:p>
              </w:tc>
            </w:tr>
            <w:tr w14:paraId="662174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54AD0AB7">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517523C8">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rPr>
                    <w:t>人工装箱</w:t>
                  </w:r>
                </w:p>
              </w:tc>
              <w:tc>
                <w:tcPr>
                  <w:tcW w:w="1708" w:type="dxa"/>
                  <w:tcBorders>
                    <w:tl2br w:val="nil"/>
                    <w:tr2bl w:val="nil"/>
                  </w:tcBorders>
                  <w:noWrap w:val="0"/>
                  <w:vAlign w:val="center"/>
                </w:tcPr>
                <w:p w14:paraId="54BE5D31">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噪声</w:t>
                  </w:r>
                </w:p>
              </w:tc>
              <w:tc>
                <w:tcPr>
                  <w:tcW w:w="1089" w:type="dxa"/>
                  <w:tcBorders>
                    <w:tl2br w:val="nil"/>
                    <w:tr2bl w:val="nil"/>
                  </w:tcBorders>
                  <w:noWrap w:val="0"/>
                  <w:vAlign w:val="center"/>
                </w:tcPr>
                <w:p w14:paraId="23826D2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2415163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低噪设备、减振、隔声处理</w:t>
                  </w:r>
                </w:p>
              </w:tc>
            </w:tr>
            <w:tr w14:paraId="09170D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restart"/>
                  <w:tcBorders>
                    <w:tl2br w:val="nil"/>
                    <w:tr2bl w:val="nil"/>
                  </w:tcBorders>
                  <w:noWrap w:val="0"/>
                  <w:vAlign w:val="center"/>
                </w:tcPr>
                <w:p w14:paraId="4EFA56DA">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固体废物</w:t>
                  </w:r>
                </w:p>
              </w:tc>
              <w:tc>
                <w:tcPr>
                  <w:tcW w:w="1530" w:type="dxa"/>
                  <w:tcBorders>
                    <w:tl2br w:val="nil"/>
                    <w:tr2bl w:val="nil"/>
                  </w:tcBorders>
                  <w:noWrap w:val="0"/>
                  <w:vAlign w:val="center"/>
                </w:tcPr>
                <w:p w14:paraId="78B9CE69">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eastAsia="宋体" w:cs="Times New Roman"/>
                      <w:color w:val="auto"/>
                      <w:spacing w:val="0"/>
                      <w:sz w:val="18"/>
                      <w:szCs w:val="18"/>
                      <w:highlight w:val="none"/>
                    </w:rPr>
                    <w:t>扒皮去须</w:t>
                  </w:r>
                </w:p>
              </w:tc>
              <w:tc>
                <w:tcPr>
                  <w:tcW w:w="1708" w:type="dxa"/>
                  <w:tcBorders>
                    <w:tl2br w:val="nil"/>
                    <w:tr2bl w:val="nil"/>
                  </w:tcBorders>
                  <w:noWrap w:val="0"/>
                  <w:vAlign w:val="center"/>
                </w:tcPr>
                <w:p w14:paraId="7EBCD0AC">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玉米皮、玉米须、玉米芯及切端废物</w:t>
                  </w:r>
                </w:p>
              </w:tc>
              <w:tc>
                <w:tcPr>
                  <w:tcW w:w="1089" w:type="dxa"/>
                  <w:tcBorders>
                    <w:tl2br w:val="nil"/>
                    <w:tr2bl w:val="nil"/>
                  </w:tcBorders>
                  <w:noWrap w:val="0"/>
                  <w:vAlign w:val="center"/>
                </w:tcPr>
                <w:p w14:paraId="0F200DE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70B2B458">
                  <w:pPr>
                    <w:pStyle w:val="26"/>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外售作为饲料。</w:t>
                  </w:r>
                </w:p>
              </w:tc>
            </w:tr>
            <w:tr w14:paraId="1B159C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38C3A4E6">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4057B167">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锅炉除尘</w:t>
                  </w:r>
                </w:p>
              </w:tc>
              <w:tc>
                <w:tcPr>
                  <w:tcW w:w="1708" w:type="dxa"/>
                  <w:tcBorders>
                    <w:tl2br w:val="nil"/>
                    <w:tr2bl w:val="nil"/>
                  </w:tcBorders>
                  <w:noWrap w:val="0"/>
                  <w:vAlign w:val="center"/>
                </w:tcPr>
                <w:p w14:paraId="030114F1">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除尘器收尘</w:t>
                  </w:r>
                </w:p>
              </w:tc>
              <w:tc>
                <w:tcPr>
                  <w:tcW w:w="1089" w:type="dxa"/>
                  <w:tcBorders>
                    <w:tl2br w:val="nil"/>
                    <w:tr2bl w:val="nil"/>
                  </w:tcBorders>
                  <w:noWrap w:val="0"/>
                  <w:vAlign w:val="center"/>
                </w:tcPr>
                <w:p w14:paraId="6E17453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间断</w:t>
                  </w:r>
                </w:p>
              </w:tc>
              <w:tc>
                <w:tcPr>
                  <w:tcW w:w="3378" w:type="dxa"/>
                  <w:tcBorders>
                    <w:tl2br w:val="nil"/>
                    <w:tr2bl w:val="nil"/>
                  </w:tcBorders>
                  <w:noWrap w:val="0"/>
                  <w:vAlign w:val="center"/>
                </w:tcPr>
                <w:p w14:paraId="377865B0">
                  <w:pPr>
                    <w:pStyle w:val="26"/>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集中收集后外售。</w:t>
                  </w:r>
                </w:p>
              </w:tc>
            </w:tr>
            <w:tr w14:paraId="5AD63F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0D7813E3">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3E2E8FA8">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锅炉炉渣</w:t>
                  </w:r>
                </w:p>
              </w:tc>
              <w:tc>
                <w:tcPr>
                  <w:tcW w:w="1708" w:type="dxa"/>
                  <w:tcBorders>
                    <w:tl2br w:val="nil"/>
                    <w:tr2bl w:val="nil"/>
                  </w:tcBorders>
                  <w:noWrap w:val="0"/>
                  <w:vAlign w:val="center"/>
                </w:tcPr>
                <w:p w14:paraId="5E927A7E">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锅炉炉渣</w:t>
                  </w:r>
                </w:p>
              </w:tc>
              <w:tc>
                <w:tcPr>
                  <w:tcW w:w="1089" w:type="dxa"/>
                  <w:tcBorders>
                    <w:tl2br w:val="nil"/>
                    <w:tr2bl w:val="nil"/>
                  </w:tcBorders>
                  <w:noWrap w:val="0"/>
                  <w:vAlign w:val="center"/>
                </w:tcPr>
                <w:p w14:paraId="7C531F1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间断</w:t>
                  </w:r>
                </w:p>
              </w:tc>
              <w:tc>
                <w:tcPr>
                  <w:tcW w:w="3378" w:type="dxa"/>
                  <w:tcBorders>
                    <w:tl2br w:val="nil"/>
                    <w:tr2bl w:val="nil"/>
                  </w:tcBorders>
                  <w:noWrap w:val="0"/>
                  <w:vAlign w:val="center"/>
                </w:tcPr>
                <w:p w14:paraId="01D79899">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锅炉灰渣外售做肥料。</w:t>
                  </w:r>
                </w:p>
              </w:tc>
            </w:tr>
            <w:tr w14:paraId="394FE0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3D9E64D9">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6CAB1978">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软化水设备</w:t>
                  </w:r>
                </w:p>
              </w:tc>
              <w:tc>
                <w:tcPr>
                  <w:tcW w:w="1708" w:type="dxa"/>
                  <w:tcBorders>
                    <w:tl2br w:val="nil"/>
                    <w:tr2bl w:val="nil"/>
                  </w:tcBorders>
                  <w:noWrap w:val="0"/>
                  <w:vAlign w:val="center"/>
                </w:tcPr>
                <w:p w14:paraId="476A5165">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废离子交换树脂</w:t>
                  </w:r>
                </w:p>
              </w:tc>
              <w:tc>
                <w:tcPr>
                  <w:tcW w:w="1089" w:type="dxa"/>
                  <w:tcBorders>
                    <w:tl2br w:val="nil"/>
                    <w:tr2bl w:val="nil"/>
                  </w:tcBorders>
                  <w:noWrap w:val="0"/>
                  <w:vAlign w:val="center"/>
                </w:tcPr>
                <w:p w14:paraId="26EAB97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6CE67697">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交由原厂回收</w:t>
                  </w:r>
                </w:p>
              </w:tc>
            </w:tr>
            <w:tr w14:paraId="299ED3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6EA2E6EF">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56B12196">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包装</w:t>
                  </w:r>
                </w:p>
              </w:tc>
              <w:tc>
                <w:tcPr>
                  <w:tcW w:w="1708" w:type="dxa"/>
                  <w:tcBorders>
                    <w:tl2br w:val="nil"/>
                    <w:tr2bl w:val="nil"/>
                  </w:tcBorders>
                  <w:noWrap w:val="0"/>
                  <w:vAlign w:val="center"/>
                </w:tcPr>
                <w:p w14:paraId="735D7208">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lang w:eastAsia="zh-CN"/>
                    </w:rPr>
                  </w:pPr>
                  <w:r>
                    <w:rPr>
                      <w:rFonts w:hint="default" w:ascii="Times New Roman" w:hAnsi="Times New Roman" w:eastAsia="宋体" w:cs="Times New Roman"/>
                      <w:color w:val="auto"/>
                      <w:spacing w:val="0"/>
                      <w:sz w:val="18"/>
                      <w:szCs w:val="18"/>
                      <w:highlight w:val="none"/>
                    </w:rPr>
                    <w:t>废包装</w:t>
                  </w:r>
                  <w:r>
                    <w:rPr>
                      <w:rFonts w:hint="default" w:ascii="Times New Roman" w:hAnsi="Times New Roman" w:cs="Times New Roman"/>
                      <w:color w:val="auto"/>
                      <w:spacing w:val="0"/>
                      <w:sz w:val="18"/>
                      <w:szCs w:val="18"/>
                      <w:highlight w:val="none"/>
                      <w:lang w:eastAsia="zh-CN"/>
                    </w:rPr>
                    <w:t>材料</w:t>
                  </w:r>
                </w:p>
              </w:tc>
              <w:tc>
                <w:tcPr>
                  <w:tcW w:w="1089" w:type="dxa"/>
                  <w:tcBorders>
                    <w:tl2br w:val="nil"/>
                    <w:tr2bl w:val="nil"/>
                  </w:tcBorders>
                  <w:noWrap w:val="0"/>
                  <w:vAlign w:val="center"/>
                </w:tcPr>
                <w:p w14:paraId="0D5C7FFE">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1F8402ED">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交由原厂回收</w:t>
                  </w:r>
                </w:p>
              </w:tc>
            </w:tr>
            <w:tr w14:paraId="5040B0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15" w:type="dxa"/>
                  <w:vMerge w:val="continue"/>
                  <w:tcBorders>
                    <w:tl2br w:val="nil"/>
                    <w:tr2bl w:val="nil"/>
                  </w:tcBorders>
                  <w:noWrap w:val="0"/>
                  <w:vAlign w:val="center"/>
                </w:tcPr>
                <w:p w14:paraId="6B0BE3E1">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p>
              </w:tc>
              <w:tc>
                <w:tcPr>
                  <w:tcW w:w="1530" w:type="dxa"/>
                  <w:tcBorders>
                    <w:tl2br w:val="nil"/>
                    <w:tr2bl w:val="nil"/>
                  </w:tcBorders>
                  <w:noWrap w:val="0"/>
                  <w:vAlign w:val="center"/>
                </w:tcPr>
                <w:p w14:paraId="2CFE2509">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生活</w:t>
                  </w:r>
                </w:p>
              </w:tc>
              <w:tc>
                <w:tcPr>
                  <w:tcW w:w="1708" w:type="dxa"/>
                  <w:tcBorders>
                    <w:tl2br w:val="nil"/>
                    <w:tr2bl w:val="nil"/>
                  </w:tcBorders>
                  <w:noWrap w:val="0"/>
                  <w:vAlign w:val="center"/>
                </w:tcPr>
                <w:p w14:paraId="1DB7D2C2">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生活垃圾</w:t>
                  </w:r>
                </w:p>
              </w:tc>
              <w:tc>
                <w:tcPr>
                  <w:tcW w:w="1089" w:type="dxa"/>
                  <w:tcBorders>
                    <w:tl2br w:val="nil"/>
                    <w:tr2bl w:val="nil"/>
                  </w:tcBorders>
                  <w:noWrap w:val="0"/>
                  <w:vAlign w:val="center"/>
                </w:tcPr>
                <w:p w14:paraId="372F71B5">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lang w:eastAsia="zh-CN"/>
                    </w:rPr>
                    <w:t>连续</w:t>
                  </w:r>
                </w:p>
              </w:tc>
              <w:tc>
                <w:tcPr>
                  <w:tcW w:w="3378" w:type="dxa"/>
                  <w:tcBorders>
                    <w:tl2br w:val="nil"/>
                    <w:tr2bl w:val="nil"/>
                  </w:tcBorders>
                  <w:noWrap w:val="0"/>
                  <w:vAlign w:val="center"/>
                </w:tcPr>
                <w:p w14:paraId="060F1183">
                  <w:pPr>
                    <w:pStyle w:val="2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pacing w:val="0"/>
                      <w:sz w:val="18"/>
                      <w:szCs w:val="18"/>
                      <w:highlight w:val="none"/>
                    </w:rPr>
                  </w:pPr>
                  <w:r>
                    <w:rPr>
                      <w:rFonts w:hint="default" w:ascii="Times New Roman" w:hAnsi="Times New Roman" w:eastAsia="宋体" w:cs="Times New Roman"/>
                      <w:color w:val="auto"/>
                      <w:spacing w:val="0"/>
                      <w:sz w:val="18"/>
                      <w:szCs w:val="18"/>
                      <w:highlight w:val="none"/>
                    </w:rPr>
                    <w:t>环卫部门统一清运。</w:t>
                  </w:r>
                </w:p>
              </w:tc>
            </w:tr>
          </w:tbl>
          <w:p w14:paraId="6EB1A4C1">
            <w:pPr>
              <w:adjustRightInd w:val="0"/>
              <w:snapToGrid w:val="0"/>
              <w:spacing w:line="360" w:lineRule="auto"/>
              <w:jc w:val="both"/>
              <w:rPr>
                <w:rFonts w:hint="default" w:ascii="Times New Roman" w:hAnsi="Times New Roman" w:eastAsia="宋体" w:cs="Times New Roman"/>
                <w:bCs/>
                <w:color w:val="auto"/>
                <w:szCs w:val="21"/>
                <w:highlight w:val="none"/>
                <w:lang w:val="en-US" w:eastAsia="zh-CN"/>
              </w:rPr>
            </w:pPr>
          </w:p>
        </w:tc>
      </w:tr>
      <w:tr w14:paraId="2CCB8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7" w:hRule="atLeast"/>
          <w:jc w:val="center"/>
        </w:trPr>
        <w:tc>
          <w:tcPr>
            <w:tcW w:w="441" w:type="dxa"/>
            <w:noWrap w:val="0"/>
            <w:vAlign w:val="center"/>
          </w:tcPr>
          <w:p w14:paraId="01F1DAD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与项目有关的原有环境污染问题</w:t>
            </w:r>
          </w:p>
        </w:tc>
        <w:tc>
          <w:tcPr>
            <w:tcW w:w="8619" w:type="dxa"/>
            <w:noWrap w:val="0"/>
            <w:vAlign w:val="center"/>
          </w:tcPr>
          <w:p w14:paraId="028D340B">
            <w:pPr>
              <w:spacing w:line="360" w:lineRule="auto"/>
              <w:ind w:firstLine="420" w:firstLineChars="200"/>
              <w:jc w:val="left"/>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本项目为新建项目，租赁现有厂区及设备</w:t>
            </w:r>
            <w:r>
              <w:rPr>
                <w:rFonts w:hint="eastAsia"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3t/h生物质蒸汽锅炉</w:t>
            </w:r>
            <w:r>
              <w:rPr>
                <w:rFonts w:hint="eastAsia" w:cs="Times New Roman"/>
                <w:bCs/>
                <w:color w:val="auto"/>
                <w:szCs w:val="21"/>
                <w:highlight w:val="none"/>
                <w:lang w:val="en-US" w:eastAsia="zh-CN"/>
              </w:rPr>
              <w:t>及其附属设施、玉米饼生产线</w:t>
            </w:r>
            <w:r>
              <w:rPr>
                <w:rFonts w:hint="eastAsia" w:ascii="Times New Roman" w:hAnsi="Times New Roman" w:eastAsia="宋体" w:cs="Times New Roman"/>
                <w:bCs/>
                <w:color w:val="auto"/>
                <w:szCs w:val="21"/>
                <w:highlight w:val="none"/>
                <w:lang w:val="en-US" w:eastAsia="zh-CN"/>
              </w:rPr>
              <w:t>为新建）</w:t>
            </w:r>
            <w:r>
              <w:rPr>
                <w:rFonts w:hint="default" w:ascii="Times New Roman" w:hAnsi="Times New Roman" w:eastAsia="宋体" w:cs="Times New Roman"/>
                <w:bCs/>
                <w:color w:val="auto"/>
                <w:szCs w:val="21"/>
                <w:highlight w:val="none"/>
                <w:lang w:val="en-US" w:eastAsia="zh-CN"/>
              </w:rPr>
              <w:t>，租赁协议见附件，该厂于2024年停产，无与项目有关的原有环境污染问题。</w:t>
            </w:r>
          </w:p>
        </w:tc>
      </w:tr>
    </w:tbl>
    <w:p w14:paraId="7CCB9D8D">
      <w:pPr>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FF6DE5F">
      <w:pPr>
        <w:jc w:val="center"/>
        <w:outlineLvl w:val="0"/>
        <w:rPr>
          <w:rFonts w:hint="default" w:ascii="Times New Roman" w:hAnsi="Times New Roman" w:eastAsia="黑体" w:cs="Times New Roman"/>
          <w:snapToGrid w:val="0"/>
          <w:color w:val="auto"/>
          <w:sz w:val="30"/>
          <w:szCs w:val="30"/>
          <w:highlight w:val="none"/>
        </w:rPr>
      </w:pPr>
      <w:bookmarkStart w:id="6" w:name="_Toc8968"/>
      <w:r>
        <w:rPr>
          <w:rFonts w:hint="default" w:ascii="Times New Roman" w:hAnsi="Times New Roman" w:eastAsia="黑体" w:cs="Times New Roman"/>
          <w:snapToGrid w:val="0"/>
          <w:color w:val="auto"/>
          <w:sz w:val="30"/>
          <w:szCs w:val="30"/>
          <w:highlight w:val="none"/>
        </w:rPr>
        <w:t>三、区域环境质量现状、环境保护目标及评价标准</w:t>
      </w:r>
      <w:bookmarkEnd w:id="6"/>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8554"/>
      </w:tblGrid>
      <w:tr w14:paraId="6DC10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00" w:type="dxa"/>
            <w:noWrap w:val="0"/>
            <w:vAlign w:val="center"/>
          </w:tcPr>
          <w:p w14:paraId="36240A5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14:paraId="56238317">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79C2EA4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14:paraId="725E127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190" w:type="dxa"/>
            <w:noWrap w:val="0"/>
            <w:vAlign w:val="center"/>
          </w:tcPr>
          <w:p w14:paraId="40ECBF55">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1、大气环境</w:t>
            </w:r>
          </w:p>
          <w:p w14:paraId="052D7CE4">
            <w:pPr>
              <w:adjustRightInd w:val="0"/>
              <w:snapToGrid w:val="0"/>
              <w:spacing w:line="360" w:lineRule="auto"/>
              <w:ind w:firstLine="420" w:firstLineChars="200"/>
              <w:rPr>
                <w:rFonts w:hint="default" w:ascii="Times New Roman" w:hAnsi="Times New Roman" w:cs="Times New Roman"/>
                <w:b w:val="0"/>
                <w:bCs w:val="0"/>
                <w:color w:val="auto"/>
                <w:kern w:val="0"/>
                <w:sz w:val="21"/>
                <w:szCs w:val="21"/>
                <w:highlight w:val="none"/>
                <w:lang w:eastAsia="zh-CN"/>
              </w:rPr>
            </w:pPr>
            <w:r>
              <w:rPr>
                <w:rFonts w:hint="default" w:ascii="Times New Roman" w:hAnsi="Times New Roman" w:cs="Times New Roman"/>
                <w:b w:val="0"/>
                <w:bCs w:val="0"/>
                <w:color w:val="auto"/>
                <w:kern w:val="0"/>
                <w:sz w:val="21"/>
                <w:szCs w:val="21"/>
                <w:highlight w:val="none"/>
                <w:lang w:eastAsia="zh-CN"/>
              </w:rPr>
              <w:t>（</w:t>
            </w:r>
            <w:r>
              <w:rPr>
                <w:rFonts w:hint="default" w:ascii="Times New Roman" w:hAnsi="Times New Roman" w:cs="Times New Roman"/>
                <w:b w:val="0"/>
                <w:bCs w:val="0"/>
                <w:color w:val="auto"/>
                <w:kern w:val="0"/>
                <w:sz w:val="21"/>
                <w:szCs w:val="21"/>
                <w:highlight w:val="none"/>
                <w:lang w:val="en-US" w:eastAsia="zh-CN"/>
              </w:rPr>
              <w:t>1</w:t>
            </w:r>
            <w:r>
              <w:rPr>
                <w:rFonts w:hint="default" w:ascii="Times New Roman" w:hAnsi="Times New Roman" w:cs="Times New Roman"/>
                <w:b w:val="0"/>
                <w:bCs w:val="0"/>
                <w:color w:val="auto"/>
                <w:kern w:val="0"/>
                <w:sz w:val="21"/>
                <w:szCs w:val="21"/>
                <w:highlight w:val="none"/>
                <w:lang w:eastAsia="zh-CN"/>
              </w:rPr>
              <w:t>）常规污染物</w:t>
            </w:r>
          </w:p>
          <w:p w14:paraId="624176E5">
            <w:pPr>
              <w:pStyle w:val="11"/>
              <w:keepNext w:val="0"/>
              <w:keepLines w:val="0"/>
              <w:pageBreakBefore w:val="0"/>
              <w:widowControl w:val="0"/>
              <w:kinsoku/>
              <w:wordWrap/>
              <w:overflowPunct/>
              <w:topLinePunct w:val="0"/>
              <w:autoSpaceDE/>
              <w:autoSpaceDN/>
              <w:bidi w:val="0"/>
              <w:adjustRightInd/>
              <w:snapToGrid w:val="0"/>
              <w:spacing w:after="0" w:line="360" w:lineRule="auto"/>
              <w:ind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sz w:val="21"/>
                <w:szCs w:val="21"/>
                <w:highlight w:val="none"/>
              </w:rPr>
              <w:t>根据《202</w:t>
            </w:r>
            <w:r>
              <w:rPr>
                <w:rFonts w:hint="default" w:ascii="Times New Roman" w:hAnsi="Times New Roman" w:cs="Times New Roman"/>
                <w:bCs/>
                <w:sz w:val="21"/>
                <w:szCs w:val="21"/>
                <w:highlight w:val="none"/>
                <w:lang w:val="en-US" w:eastAsia="zh-CN"/>
              </w:rPr>
              <w:t>4</w:t>
            </w:r>
            <w:r>
              <w:rPr>
                <w:rFonts w:hint="default" w:ascii="Times New Roman" w:hAnsi="Times New Roman" w:cs="Times New Roman"/>
                <w:bCs/>
                <w:sz w:val="21"/>
                <w:szCs w:val="21"/>
                <w:highlight w:val="none"/>
              </w:rPr>
              <w:t>年绥化市环境质量年报》</w:t>
            </w:r>
            <w:r>
              <w:rPr>
                <w:rFonts w:hint="default" w:ascii="Times New Roman" w:hAnsi="Times New Roman" w:eastAsia="宋体" w:cs="Times New Roman"/>
                <w:bCs/>
                <w:sz w:val="21"/>
                <w:szCs w:val="21"/>
                <w:highlight w:val="none"/>
              </w:rPr>
              <w:t>，</w:t>
            </w:r>
            <w:r>
              <w:rPr>
                <w:rFonts w:hint="default" w:ascii="Times New Roman" w:hAnsi="Times New Roman" w:eastAsia="宋体" w:cs="Times New Roman"/>
                <w:bCs/>
                <w:sz w:val="21"/>
                <w:szCs w:val="21"/>
                <w:highlight w:val="none"/>
                <w:lang w:val="en-US" w:eastAsia="zh-CN"/>
              </w:rPr>
              <w:t>202</w:t>
            </w:r>
            <w:r>
              <w:rPr>
                <w:rFonts w:hint="default" w:ascii="Times New Roman" w:hAnsi="Times New Roman" w:cs="Times New Roman"/>
                <w:bCs/>
                <w:sz w:val="21"/>
                <w:szCs w:val="21"/>
                <w:highlight w:val="none"/>
                <w:lang w:val="en-US" w:eastAsia="zh-CN"/>
              </w:rPr>
              <w:t>4</w:t>
            </w:r>
            <w:r>
              <w:rPr>
                <w:rFonts w:hint="default" w:ascii="Times New Roman" w:hAnsi="Times New Roman" w:eastAsia="宋体" w:cs="Times New Roman"/>
                <w:bCs/>
                <w:sz w:val="21"/>
                <w:szCs w:val="21"/>
                <w:highlight w:val="none"/>
                <w:lang w:val="en-US" w:eastAsia="zh-CN"/>
              </w:rPr>
              <w:t>年绥化市空气质量级别劣于二级，空气质量综合指数为3.</w:t>
            </w:r>
            <w:r>
              <w:rPr>
                <w:rFonts w:hint="default" w:ascii="Times New Roman" w:hAnsi="Times New Roman" w:cs="Times New Roman"/>
                <w:bCs/>
                <w:sz w:val="21"/>
                <w:szCs w:val="21"/>
                <w:highlight w:val="none"/>
                <w:lang w:val="en-US" w:eastAsia="zh-CN"/>
              </w:rPr>
              <w:t>64</w:t>
            </w:r>
            <w:r>
              <w:rPr>
                <w:rFonts w:hint="default" w:ascii="Times New Roman" w:hAnsi="Times New Roman" w:eastAsia="宋体" w:cs="Times New Roman"/>
                <w:bCs/>
                <w:sz w:val="21"/>
                <w:szCs w:val="21"/>
                <w:highlight w:val="none"/>
                <w:lang w:val="en-US" w:eastAsia="zh-CN"/>
              </w:rPr>
              <w:t>，同比升高</w:t>
            </w:r>
            <w:r>
              <w:rPr>
                <w:rFonts w:hint="default" w:ascii="Times New Roman" w:hAnsi="Times New Roman" w:cs="Times New Roman"/>
                <w:bCs/>
                <w:sz w:val="21"/>
                <w:szCs w:val="21"/>
                <w:highlight w:val="none"/>
                <w:lang w:val="en-US" w:eastAsia="zh-CN"/>
              </w:rPr>
              <w:t>6.4</w:t>
            </w:r>
            <w:r>
              <w:rPr>
                <w:rFonts w:hint="default" w:ascii="Times New Roman" w:hAnsi="Times New Roman" w:eastAsia="宋体" w:cs="Times New Roman"/>
                <w:bCs/>
                <w:sz w:val="21"/>
                <w:szCs w:val="21"/>
                <w:highlight w:val="none"/>
                <w:lang w:val="en-US" w:eastAsia="zh-CN"/>
              </w:rPr>
              <w:t>%，PM</w:t>
            </w:r>
            <w:r>
              <w:rPr>
                <w:rFonts w:hint="default" w:ascii="Times New Roman" w:hAnsi="Times New Roman" w:eastAsia="宋体" w:cs="Times New Roman"/>
                <w:bCs/>
                <w:sz w:val="21"/>
                <w:szCs w:val="21"/>
                <w:highlight w:val="none"/>
                <w:vertAlign w:val="subscript"/>
                <w:lang w:val="en-US" w:eastAsia="zh-CN"/>
              </w:rPr>
              <w:t>10</w:t>
            </w:r>
            <w:r>
              <w:rPr>
                <w:rFonts w:hint="default" w:ascii="Times New Roman" w:hAnsi="Times New Roman" w:eastAsia="宋体" w:cs="Times New Roman"/>
                <w:bCs/>
                <w:sz w:val="21"/>
                <w:szCs w:val="21"/>
                <w:highlight w:val="none"/>
                <w:lang w:val="en-US" w:eastAsia="zh-CN"/>
              </w:rPr>
              <w:t xml:space="preserve"> 年均浓度为5</w:t>
            </w:r>
            <w:r>
              <w:rPr>
                <w:rFonts w:hint="default" w:ascii="Times New Roman" w:hAnsi="Times New Roman" w:cs="Times New Roman"/>
                <w:bCs/>
                <w:sz w:val="21"/>
                <w:szCs w:val="21"/>
                <w:highlight w:val="none"/>
                <w:lang w:val="en-US" w:eastAsia="zh-CN"/>
              </w:rPr>
              <w:t>7</w:t>
            </w:r>
            <w:r>
              <w:rPr>
                <w:rFonts w:hint="default" w:ascii="Times New Roman" w:hAnsi="Times New Roman" w:eastAsia="宋体" w:cs="Times New Roman"/>
                <w:bCs/>
                <w:sz w:val="21"/>
                <w:szCs w:val="21"/>
                <w:highlight w:val="none"/>
                <w:lang w:val="en-US" w:eastAsia="zh-CN"/>
              </w:rPr>
              <w:t>μg/m</w:t>
            </w:r>
            <w:r>
              <w:rPr>
                <w:rFonts w:hint="default" w:ascii="Times New Roman" w:hAnsi="Times New Roman" w:eastAsia="宋体" w:cs="Times New Roman"/>
                <w:bCs/>
                <w:sz w:val="21"/>
                <w:szCs w:val="21"/>
                <w:highlight w:val="none"/>
                <w:vertAlign w:val="superscript"/>
                <w:lang w:val="en-US" w:eastAsia="zh-CN"/>
              </w:rPr>
              <w:t>3</w:t>
            </w:r>
            <w:r>
              <w:rPr>
                <w:rFonts w:hint="default" w:ascii="Times New Roman" w:hAnsi="Times New Roman" w:eastAsia="宋体" w:cs="Times New Roman"/>
                <w:bCs/>
                <w:sz w:val="21"/>
                <w:szCs w:val="21"/>
                <w:highlight w:val="none"/>
                <w:lang w:val="en-US" w:eastAsia="zh-CN"/>
              </w:rPr>
              <w:t>，SO</w:t>
            </w:r>
            <w:r>
              <w:rPr>
                <w:rFonts w:hint="default" w:ascii="Times New Roman" w:hAnsi="Times New Roman" w:eastAsia="宋体" w:cs="Times New Roman"/>
                <w:bCs/>
                <w:sz w:val="21"/>
                <w:szCs w:val="21"/>
                <w:highlight w:val="none"/>
                <w:vertAlign w:val="subscript"/>
                <w:lang w:val="en-US" w:eastAsia="zh-CN"/>
              </w:rPr>
              <w:t>2</w:t>
            </w:r>
            <w:r>
              <w:rPr>
                <w:rFonts w:hint="default" w:ascii="Times New Roman" w:hAnsi="Times New Roman" w:eastAsia="宋体" w:cs="Times New Roman"/>
                <w:bCs/>
                <w:sz w:val="21"/>
                <w:szCs w:val="21"/>
                <w:highlight w:val="none"/>
                <w:lang w:val="en-US" w:eastAsia="zh-CN"/>
              </w:rPr>
              <w:t>年均浓度为7μg/m</w:t>
            </w:r>
            <w:r>
              <w:rPr>
                <w:rFonts w:hint="default" w:ascii="Times New Roman" w:hAnsi="Times New Roman" w:eastAsia="宋体" w:cs="Times New Roman"/>
                <w:bCs/>
                <w:sz w:val="21"/>
                <w:szCs w:val="21"/>
                <w:highlight w:val="none"/>
                <w:vertAlign w:val="superscript"/>
                <w:lang w:val="en-US" w:eastAsia="zh-CN"/>
              </w:rPr>
              <w:t>3</w:t>
            </w:r>
            <w:r>
              <w:rPr>
                <w:rFonts w:hint="default" w:ascii="Times New Roman" w:hAnsi="Times New Roman" w:eastAsia="宋体" w:cs="Times New Roman"/>
                <w:bCs/>
                <w:sz w:val="21"/>
                <w:szCs w:val="21"/>
                <w:highlight w:val="none"/>
                <w:lang w:val="en-US" w:eastAsia="zh-CN"/>
              </w:rPr>
              <w:t>，NO</w:t>
            </w:r>
            <w:r>
              <w:rPr>
                <w:rFonts w:hint="default" w:ascii="Times New Roman" w:hAnsi="Times New Roman" w:eastAsia="宋体" w:cs="Times New Roman"/>
                <w:bCs/>
                <w:sz w:val="21"/>
                <w:szCs w:val="21"/>
                <w:highlight w:val="none"/>
                <w:vertAlign w:val="subscript"/>
                <w:lang w:val="en-US" w:eastAsia="zh-CN"/>
              </w:rPr>
              <w:t>2</w:t>
            </w:r>
            <w:r>
              <w:rPr>
                <w:rFonts w:hint="default" w:ascii="Times New Roman" w:hAnsi="Times New Roman" w:eastAsia="宋体" w:cs="Times New Roman"/>
                <w:bCs/>
                <w:sz w:val="21"/>
                <w:szCs w:val="21"/>
                <w:highlight w:val="none"/>
                <w:lang w:val="en-US" w:eastAsia="zh-CN"/>
              </w:rPr>
              <w:t>年均浓度为 19μg/m</w:t>
            </w:r>
            <w:r>
              <w:rPr>
                <w:rFonts w:hint="default" w:ascii="Times New Roman" w:hAnsi="Times New Roman" w:eastAsia="宋体" w:cs="Times New Roman"/>
                <w:bCs/>
                <w:sz w:val="21"/>
                <w:szCs w:val="21"/>
                <w:highlight w:val="none"/>
                <w:vertAlign w:val="superscript"/>
                <w:lang w:val="en-US" w:eastAsia="zh-CN"/>
              </w:rPr>
              <w:t>3</w:t>
            </w:r>
            <w:r>
              <w:rPr>
                <w:rFonts w:hint="default" w:ascii="Times New Roman" w:hAnsi="Times New Roman" w:eastAsia="宋体" w:cs="Times New Roman"/>
                <w:bCs/>
                <w:sz w:val="21"/>
                <w:szCs w:val="21"/>
                <w:highlight w:val="none"/>
                <w:lang w:val="en-US" w:eastAsia="zh-CN"/>
              </w:rPr>
              <w:t>，PM</w:t>
            </w:r>
            <w:r>
              <w:rPr>
                <w:rFonts w:hint="default" w:ascii="Times New Roman" w:hAnsi="Times New Roman" w:eastAsia="宋体" w:cs="Times New Roman"/>
                <w:bCs/>
                <w:sz w:val="21"/>
                <w:szCs w:val="21"/>
                <w:highlight w:val="none"/>
                <w:vertAlign w:val="subscript"/>
                <w:lang w:val="en-US" w:eastAsia="zh-CN"/>
              </w:rPr>
              <w:t>2.5</w:t>
            </w:r>
            <w:r>
              <w:rPr>
                <w:rFonts w:hint="default" w:ascii="Times New Roman" w:hAnsi="Times New Roman" w:eastAsia="宋体" w:cs="Times New Roman"/>
                <w:bCs/>
                <w:sz w:val="21"/>
                <w:szCs w:val="21"/>
                <w:highlight w:val="none"/>
                <w:lang w:val="en-US" w:eastAsia="zh-CN"/>
              </w:rPr>
              <w:t>年均浓度为</w:t>
            </w:r>
            <w:r>
              <w:rPr>
                <w:rFonts w:hint="default" w:ascii="Times New Roman" w:hAnsi="Times New Roman" w:cs="Times New Roman"/>
                <w:bCs/>
                <w:sz w:val="21"/>
                <w:szCs w:val="21"/>
                <w:highlight w:val="none"/>
                <w:lang w:val="en-US" w:eastAsia="zh-CN"/>
              </w:rPr>
              <w:t>43</w:t>
            </w:r>
            <w:r>
              <w:rPr>
                <w:rFonts w:hint="default" w:ascii="Times New Roman" w:hAnsi="Times New Roman" w:eastAsia="宋体" w:cs="Times New Roman"/>
                <w:bCs/>
                <w:sz w:val="21"/>
                <w:szCs w:val="21"/>
                <w:highlight w:val="none"/>
                <w:lang w:val="en-US" w:eastAsia="zh-CN"/>
              </w:rPr>
              <w:t>μg/m</w:t>
            </w:r>
            <w:r>
              <w:rPr>
                <w:rFonts w:hint="default" w:ascii="Times New Roman" w:hAnsi="Times New Roman" w:eastAsia="宋体" w:cs="Times New Roman"/>
                <w:bCs/>
                <w:sz w:val="21"/>
                <w:szCs w:val="21"/>
                <w:highlight w:val="none"/>
                <w:vertAlign w:val="superscript"/>
                <w:lang w:val="en-US" w:eastAsia="zh-CN"/>
              </w:rPr>
              <w:t>3</w:t>
            </w:r>
            <w:r>
              <w:rPr>
                <w:rFonts w:hint="default" w:ascii="Times New Roman" w:hAnsi="Times New Roman" w:eastAsia="宋体" w:cs="Times New Roman"/>
                <w:bCs/>
                <w:sz w:val="21"/>
                <w:szCs w:val="21"/>
                <w:highlight w:val="none"/>
                <w:lang w:val="en-US" w:eastAsia="zh-CN"/>
              </w:rPr>
              <w:t>，一氧化碳24小时平均第95百分位数浓度为1.0mg/m</w:t>
            </w:r>
            <w:r>
              <w:rPr>
                <w:rFonts w:hint="default" w:ascii="Times New Roman" w:hAnsi="Times New Roman" w:eastAsia="宋体" w:cs="Times New Roman"/>
                <w:bCs/>
                <w:sz w:val="21"/>
                <w:szCs w:val="21"/>
                <w:highlight w:val="none"/>
                <w:vertAlign w:val="superscript"/>
                <w:lang w:val="en-US" w:eastAsia="zh-CN"/>
              </w:rPr>
              <w:t>3</w:t>
            </w:r>
            <w:r>
              <w:rPr>
                <w:rFonts w:hint="default" w:ascii="Times New Roman" w:hAnsi="Times New Roman" w:eastAsia="宋体" w:cs="Times New Roman"/>
                <w:bCs/>
                <w:sz w:val="21"/>
                <w:szCs w:val="21"/>
                <w:highlight w:val="none"/>
                <w:lang w:val="en-US" w:eastAsia="zh-CN"/>
              </w:rPr>
              <w:t>，O</w:t>
            </w:r>
            <w:r>
              <w:rPr>
                <w:rFonts w:hint="default" w:ascii="Times New Roman" w:hAnsi="Times New Roman" w:eastAsia="宋体" w:cs="Times New Roman"/>
                <w:bCs/>
                <w:sz w:val="21"/>
                <w:szCs w:val="21"/>
                <w:highlight w:val="none"/>
                <w:vertAlign w:val="subscript"/>
                <w:lang w:val="en-US" w:eastAsia="zh-CN"/>
              </w:rPr>
              <w:t>3</w:t>
            </w:r>
            <w:r>
              <w:rPr>
                <w:rFonts w:hint="default" w:ascii="Times New Roman" w:hAnsi="Times New Roman" w:eastAsia="宋体" w:cs="Times New Roman"/>
                <w:bCs/>
                <w:sz w:val="21"/>
                <w:szCs w:val="21"/>
                <w:highlight w:val="none"/>
                <w:lang w:val="en-US" w:eastAsia="zh-CN"/>
              </w:rPr>
              <w:t>日最大8小时平均第90百分位数浓度为12</w:t>
            </w:r>
            <w:r>
              <w:rPr>
                <w:rFonts w:hint="default" w:ascii="Times New Roman" w:hAnsi="Times New Roman" w:cs="Times New Roman"/>
                <w:bCs/>
                <w:sz w:val="21"/>
                <w:szCs w:val="21"/>
                <w:highlight w:val="none"/>
                <w:lang w:val="en-US" w:eastAsia="zh-CN"/>
              </w:rPr>
              <w:t>0</w:t>
            </w:r>
            <w:r>
              <w:rPr>
                <w:rFonts w:hint="default" w:ascii="Times New Roman" w:hAnsi="Times New Roman" w:eastAsia="宋体" w:cs="Times New Roman"/>
                <w:bCs/>
                <w:sz w:val="21"/>
                <w:szCs w:val="21"/>
                <w:highlight w:val="none"/>
                <w:lang w:val="en-US" w:eastAsia="zh-CN"/>
              </w:rPr>
              <w:t>μg/m</w:t>
            </w:r>
            <w:r>
              <w:rPr>
                <w:rFonts w:hint="default" w:ascii="Times New Roman" w:hAnsi="Times New Roman" w:eastAsia="宋体" w:cs="Times New Roman"/>
                <w:bCs/>
                <w:sz w:val="21"/>
                <w:szCs w:val="21"/>
                <w:highlight w:val="none"/>
                <w:vertAlign w:val="superscript"/>
                <w:lang w:val="en-US" w:eastAsia="zh-CN"/>
              </w:rPr>
              <w:t>3</w:t>
            </w:r>
            <w:r>
              <w:rPr>
                <w:rFonts w:hint="default" w:ascii="Times New Roman" w:hAnsi="Times New Roman" w:eastAsia="宋体" w:cs="Times New Roman"/>
                <w:bCs/>
                <w:sz w:val="21"/>
                <w:szCs w:val="21"/>
                <w:highlight w:val="none"/>
                <w:lang w:val="en-US" w:eastAsia="zh-CN"/>
              </w:rPr>
              <w:t>。有效监测天数为365天，达标天数为30</w:t>
            </w:r>
            <w:r>
              <w:rPr>
                <w:rFonts w:hint="default" w:ascii="Times New Roman" w:hAnsi="Times New Roman" w:cs="Times New Roman"/>
                <w:bCs/>
                <w:sz w:val="21"/>
                <w:szCs w:val="21"/>
                <w:highlight w:val="none"/>
                <w:lang w:val="en-US" w:eastAsia="zh-CN"/>
              </w:rPr>
              <w:t>5</w:t>
            </w:r>
            <w:r>
              <w:rPr>
                <w:rFonts w:hint="default" w:ascii="Times New Roman" w:hAnsi="Times New Roman" w:eastAsia="宋体" w:cs="Times New Roman"/>
                <w:bCs/>
                <w:sz w:val="21"/>
                <w:szCs w:val="21"/>
                <w:highlight w:val="none"/>
                <w:lang w:val="en-US" w:eastAsia="zh-CN"/>
              </w:rPr>
              <w:t>天，达标率为8</w:t>
            </w:r>
            <w:r>
              <w:rPr>
                <w:rFonts w:hint="default" w:ascii="Times New Roman" w:hAnsi="Times New Roman" w:cs="Times New Roman"/>
                <w:bCs/>
                <w:sz w:val="21"/>
                <w:szCs w:val="21"/>
                <w:highlight w:val="none"/>
                <w:lang w:val="en-US" w:eastAsia="zh-CN"/>
              </w:rPr>
              <w:t>3</w:t>
            </w:r>
            <w:r>
              <w:rPr>
                <w:rFonts w:hint="default" w:ascii="Times New Roman" w:hAnsi="Times New Roman" w:eastAsia="宋体" w:cs="Times New Roman"/>
                <w:bCs/>
                <w:sz w:val="21"/>
                <w:szCs w:val="21"/>
                <w:highlight w:val="none"/>
                <w:lang w:val="en-US" w:eastAsia="zh-CN"/>
              </w:rPr>
              <w:t>.</w:t>
            </w:r>
            <w:r>
              <w:rPr>
                <w:rFonts w:hint="default" w:ascii="Times New Roman" w:hAnsi="Times New Roman" w:cs="Times New Roman"/>
                <w:bCs/>
                <w:sz w:val="21"/>
                <w:szCs w:val="21"/>
                <w:highlight w:val="none"/>
                <w:lang w:val="en-US" w:eastAsia="zh-CN"/>
              </w:rPr>
              <w:t>3</w:t>
            </w:r>
            <w:r>
              <w:rPr>
                <w:rFonts w:hint="default" w:ascii="Times New Roman" w:hAnsi="Times New Roman" w:eastAsia="宋体" w:cs="Times New Roman"/>
                <w:bCs/>
                <w:sz w:val="21"/>
                <w:szCs w:val="21"/>
                <w:highlight w:val="none"/>
                <w:lang w:val="en-US" w:eastAsia="zh-CN"/>
              </w:rPr>
              <w:t>%，同比</w:t>
            </w:r>
            <w:r>
              <w:rPr>
                <w:rFonts w:hint="default" w:ascii="Times New Roman" w:hAnsi="Times New Roman" w:cs="Times New Roman"/>
                <w:bCs/>
                <w:sz w:val="21"/>
                <w:szCs w:val="21"/>
                <w:highlight w:val="none"/>
                <w:lang w:val="en-US" w:eastAsia="zh-CN"/>
              </w:rPr>
              <w:t>升高0.6</w:t>
            </w:r>
            <w:r>
              <w:rPr>
                <w:rFonts w:hint="default" w:ascii="Times New Roman" w:hAnsi="Times New Roman" w:eastAsia="宋体" w:cs="Times New Roman"/>
                <w:bCs/>
                <w:sz w:val="21"/>
                <w:szCs w:val="21"/>
                <w:highlight w:val="none"/>
                <w:lang w:val="en-US" w:eastAsia="zh-CN"/>
              </w:rPr>
              <w:t>个百分点。重度及以上污染天数共</w:t>
            </w:r>
            <w:r>
              <w:rPr>
                <w:rFonts w:hint="default" w:ascii="Times New Roman" w:hAnsi="Times New Roman" w:cs="Times New Roman"/>
                <w:bCs/>
                <w:sz w:val="21"/>
                <w:szCs w:val="21"/>
                <w:highlight w:val="none"/>
                <w:lang w:val="en-US" w:eastAsia="zh-CN"/>
              </w:rPr>
              <w:t>17</w:t>
            </w:r>
            <w:r>
              <w:rPr>
                <w:rFonts w:hint="default" w:ascii="Times New Roman" w:hAnsi="Times New Roman" w:eastAsia="宋体" w:cs="Times New Roman"/>
                <w:bCs/>
                <w:sz w:val="21"/>
                <w:szCs w:val="21"/>
                <w:highlight w:val="none"/>
                <w:lang w:val="en-US" w:eastAsia="zh-CN"/>
              </w:rPr>
              <w:t>天，同比增加</w:t>
            </w:r>
            <w:r>
              <w:rPr>
                <w:rFonts w:hint="default" w:ascii="Times New Roman" w:hAnsi="Times New Roman" w:cs="Times New Roman"/>
                <w:bCs/>
                <w:sz w:val="21"/>
                <w:szCs w:val="21"/>
                <w:highlight w:val="none"/>
                <w:lang w:val="en-US" w:eastAsia="zh-CN"/>
              </w:rPr>
              <w:t>5</w:t>
            </w:r>
            <w:r>
              <w:rPr>
                <w:rFonts w:hint="default" w:ascii="Times New Roman" w:hAnsi="Times New Roman" w:eastAsia="宋体" w:cs="Times New Roman"/>
                <w:bCs/>
                <w:sz w:val="21"/>
                <w:szCs w:val="21"/>
                <w:highlight w:val="none"/>
                <w:lang w:val="en-US" w:eastAsia="zh-CN"/>
              </w:rPr>
              <w:t>天，重污染天数比例为</w:t>
            </w:r>
            <w:r>
              <w:rPr>
                <w:rFonts w:hint="default" w:ascii="Times New Roman" w:hAnsi="Times New Roman" w:cs="Times New Roman"/>
                <w:bCs/>
                <w:sz w:val="21"/>
                <w:szCs w:val="21"/>
                <w:highlight w:val="none"/>
                <w:lang w:val="en-US" w:eastAsia="zh-CN"/>
              </w:rPr>
              <w:t>4.6</w:t>
            </w:r>
            <w:r>
              <w:rPr>
                <w:rFonts w:hint="default" w:ascii="Times New Roman" w:hAnsi="Times New Roman" w:eastAsia="宋体" w:cs="Times New Roman"/>
                <w:bCs/>
                <w:sz w:val="21"/>
                <w:szCs w:val="21"/>
                <w:highlight w:val="none"/>
                <w:lang w:val="en-US" w:eastAsia="zh-CN"/>
              </w:rPr>
              <w:t>%，同比升高</w:t>
            </w:r>
            <w:r>
              <w:rPr>
                <w:rFonts w:hint="default" w:ascii="Times New Roman" w:hAnsi="Times New Roman" w:cs="Times New Roman"/>
                <w:bCs/>
                <w:sz w:val="21"/>
                <w:szCs w:val="21"/>
                <w:highlight w:val="none"/>
                <w:lang w:val="en-US" w:eastAsia="zh-CN"/>
              </w:rPr>
              <w:t>1.3</w:t>
            </w:r>
            <w:r>
              <w:rPr>
                <w:rFonts w:hint="default" w:ascii="Times New Roman" w:hAnsi="Times New Roman" w:eastAsia="宋体" w:cs="Times New Roman"/>
                <w:bCs/>
                <w:sz w:val="21"/>
                <w:szCs w:val="21"/>
                <w:highlight w:val="none"/>
                <w:lang w:val="en-US" w:eastAsia="zh-CN"/>
              </w:rPr>
              <w:t>个百分点</w:t>
            </w:r>
            <w:r>
              <w:rPr>
                <w:rFonts w:hint="default" w:ascii="Times New Roman" w:hAnsi="Times New Roman" w:cs="Times New Roman"/>
                <w:bCs/>
                <w:sz w:val="21"/>
                <w:szCs w:val="21"/>
                <w:highlight w:val="none"/>
                <w:lang w:val="en-US" w:eastAsia="zh-CN"/>
              </w:rPr>
              <w:t>，为不达标区</w:t>
            </w:r>
            <w:r>
              <w:rPr>
                <w:rFonts w:hint="default" w:ascii="Times New Roman" w:hAnsi="Times New Roman" w:cs="Times New Roman"/>
                <w:bCs/>
                <w:sz w:val="21"/>
                <w:szCs w:val="21"/>
                <w:highlight w:val="none"/>
              </w:rPr>
              <w:t>。</w:t>
            </w:r>
          </w:p>
          <w:p w14:paraId="0924560E">
            <w:pPr>
              <w:tabs>
                <w:tab w:val="center" w:pos="4153"/>
                <w:tab w:val="right" w:pos="8306"/>
              </w:tabs>
              <w:jc w:val="center"/>
              <w:rPr>
                <w:rFonts w:hint="default" w:ascii="Times New Roman" w:hAnsi="Times New Roman" w:cs="Times New Roman"/>
                <w:b/>
                <w:kern w:val="0"/>
                <w:sz w:val="21"/>
                <w:szCs w:val="21"/>
                <w:highlight w:val="none"/>
              </w:rPr>
            </w:pPr>
            <w:r>
              <w:rPr>
                <w:rFonts w:hint="default" w:ascii="Times New Roman" w:hAnsi="Times New Roman" w:cs="Times New Roman"/>
                <w:b/>
                <w:kern w:val="0"/>
                <w:sz w:val="21"/>
                <w:szCs w:val="21"/>
                <w:highlight w:val="none"/>
              </w:rPr>
              <w:t>表3-1  区域空气质量现状评价表</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918"/>
              <w:gridCol w:w="1903"/>
              <w:gridCol w:w="1194"/>
              <w:gridCol w:w="1248"/>
              <w:gridCol w:w="1053"/>
              <w:gridCol w:w="1019"/>
            </w:tblGrid>
            <w:tr w14:paraId="692153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8" w:hRule="atLeast"/>
                <w:jc w:val="center"/>
              </w:trPr>
              <w:tc>
                <w:tcPr>
                  <w:tcW w:w="1150" w:type="pct"/>
                  <w:tcBorders>
                    <w:tl2br w:val="nil"/>
                    <w:tr2bl w:val="nil"/>
                  </w:tcBorders>
                  <w:noWrap w:val="0"/>
                  <w:vAlign w:val="center"/>
                </w:tcPr>
                <w:p w14:paraId="4225869A">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污染物</w:t>
                  </w:r>
                </w:p>
              </w:tc>
              <w:tc>
                <w:tcPr>
                  <w:tcW w:w="1141" w:type="pct"/>
                  <w:tcBorders>
                    <w:tl2br w:val="nil"/>
                    <w:tr2bl w:val="nil"/>
                  </w:tcBorders>
                  <w:noWrap w:val="0"/>
                  <w:vAlign w:val="center"/>
                </w:tcPr>
                <w:p w14:paraId="0121EF50">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年评价指标</w:t>
                  </w:r>
                </w:p>
              </w:tc>
              <w:tc>
                <w:tcPr>
                  <w:tcW w:w="716" w:type="pct"/>
                  <w:tcBorders>
                    <w:tl2br w:val="nil"/>
                    <w:tr2bl w:val="nil"/>
                  </w:tcBorders>
                  <w:noWrap w:val="0"/>
                  <w:vAlign w:val="center"/>
                </w:tcPr>
                <w:p w14:paraId="61090026">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现状浓度/</w:t>
                  </w:r>
                </w:p>
                <w:p w14:paraId="77AA09F7">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（μg/m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w:t>
                  </w:r>
                </w:p>
              </w:tc>
              <w:tc>
                <w:tcPr>
                  <w:tcW w:w="748" w:type="pct"/>
                  <w:tcBorders>
                    <w:tl2br w:val="nil"/>
                    <w:tr2bl w:val="nil"/>
                  </w:tcBorders>
                  <w:noWrap w:val="0"/>
                  <w:vAlign w:val="center"/>
                </w:tcPr>
                <w:p w14:paraId="72D9939E">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标准值/</w:t>
                  </w:r>
                </w:p>
                <w:p w14:paraId="2E38D88E">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（μg/m</w:t>
                  </w:r>
                  <w:r>
                    <w:rPr>
                      <w:rFonts w:hint="default" w:ascii="Times New Roman" w:hAnsi="Times New Roman" w:cs="Times New Roman"/>
                      <w:sz w:val="18"/>
                      <w:szCs w:val="18"/>
                      <w:highlight w:val="none"/>
                      <w:vertAlign w:val="superscript"/>
                    </w:rPr>
                    <w:t>3</w:t>
                  </w:r>
                  <w:r>
                    <w:rPr>
                      <w:rFonts w:hint="default" w:ascii="Times New Roman" w:hAnsi="Times New Roman" w:cs="Times New Roman"/>
                      <w:sz w:val="18"/>
                      <w:szCs w:val="18"/>
                      <w:highlight w:val="none"/>
                    </w:rPr>
                    <w:t>）</w:t>
                  </w:r>
                </w:p>
              </w:tc>
              <w:tc>
                <w:tcPr>
                  <w:tcW w:w="631" w:type="pct"/>
                  <w:tcBorders>
                    <w:tl2br w:val="nil"/>
                    <w:tr2bl w:val="nil"/>
                  </w:tcBorders>
                  <w:noWrap w:val="0"/>
                  <w:vAlign w:val="center"/>
                </w:tcPr>
                <w:p w14:paraId="152F3B4C">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占标率/</w:t>
                  </w:r>
                </w:p>
                <w:p w14:paraId="250B6AF1">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611" w:type="pct"/>
                  <w:tcBorders>
                    <w:tl2br w:val="nil"/>
                    <w:tr2bl w:val="nil"/>
                  </w:tcBorders>
                  <w:noWrap w:val="0"/>
                  <w:vAlign w:val="center"/>
                </w:tcPr>
                <w:p w14:paraId="47C9AC1F">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达标情况</w:t>
                  </w:r>
                </w:p>
              </w:tc>
            </w:tr>
            <w:tr w14:paraId="14A3FA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 w:hRule="atLeast"/>
                <w:jc w:val="center"/>
              </w:trPr>
              <w:tc>
                <w:tcPr>
                  <w:tcW w:w="1150" w:type="pct"/>
                  <w:tcBorders>
                    <w:tl2br w:val="nil"/>
                    <w:tr2bl w:val="nil"/>
                  </w:tcBorders>
                  <w:noWrap w:val="0"/>
                  <w:vAlign w:val="center"/>
                </w:tcPr>
                <w:p w14:paraId="265E7B63">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细颗粒物（PM</w:t>
                  </w:r>
                  <w:r>
                    <w:rPr>
                      <w:rFonts w:hint="default" w:ascii="Times New Roman" w:hAnsi="Times New Roman" w:cs="Times New Roman"/>
                      <w:sz w:val="18"/>
                      <w:szCs w:val="18"/>
                      <w:highlight w:val="none"/>
                      <w:vertAlign w:val="subscript"/>
                    </w:rPr>
                    <w:t>2.5</w:t>
                  </w:r>
                  <w:r>
                    <w:rPr>
                      <w:rFonts w:hint="default" w:ascii="Times New Roman" w:hAnsi="Times New Roman" w:cs="Times New Roman"/>
                      <w:sz w:val="18"/>
                      <w:szCs w:val="18"/>
                      <w:highlight w:val="none"/>
                    </w:rPr>
                    <w:t>）</w:t>
                  </w:r>
                </w:p>
              </w:tc>
              <w:tc>
                <w:tcPr>
                  <w:tcW w:w="1141" w:type="pct"/>
                  <w:tcBorders>
                    <w:tl2br w:val="nil"/>
                    <w:tr2bl w:val="nil"/>
                  </w:tcBorders>
                  <w:noWrap w:val="0"/>
                  <w:vAlign w:val="center"/>
                </w:tcPr>
                <w:p w14:paraId="076B2FC3">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年平均质量浓度</w:t>
                  </w:r>
                </w:p>
              </w:tc>
              <w:tc>
                <w:tcPr>
                  <w:tcW w:w="716" w:type="pct"/>
                  <w:tcBorders>
                    <w:tl2br w:val="nil"/>
                    <w:tr2bl w:val="nil"/>
                  </w:tcBorders>
                  <w:noWrap w:val="0"/>
                  <w:vAlign w:val="center"/>
                </w:tcPr>
                <w:p w14:paraId="5556454B">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43</w:t>
                  </w:r>
                </w:p>
              </w:tc>
              <w:tc>
                <w:tcPr>
                  <w:tcW w:w="748" w:type="pct"/>
                  <w:tcBorders>
                    <w:tl2br w:val="nil"/>
                    <w:tr2bl w:val="nil"/>
                  </w:tcBorders>
                  <w:noWrap w:val="0"/>
                  <w:vAlign w:val="center"/>
                </w:tcPr>
                <w:p w14:paraId="5944A060">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35</w:t>
                  </w:r>
                </w:p>
              </w:tc>
              <w:tc>
                <w:tcPr>
                  <w:tcW w:w="631" w:type="pct"/>
                  <w:tcBorders>
                    <w:tl2br w:val="nil"/>
                    <w:tr2bl w:val="nil"/>
                  </w:tcBorders>
                  <w:noWrap w:val="0"/>
                  <w:vAlign w:val="center"/>
                </w:tcPr>
                <w:p w14:paraId="70B26255">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122.85%</w:t>
                  </w:r>
                </w:p>
              </w:tc>
              <w:tc>
                <w:tcPr>
                  <w:tcW w:w="611" w:type="pct"/>
                  <w:tcBorders>
                    <w:tl2br w:val="nil"/>
                    <w:tr2bl w:val="nil"/>
                  </w:tcBorders>
                  <w:noWrap w:val="0"/>
                  <w:vAlign w:val="center"/>
                </w:tcPr>
                <w:p w14:paraId="1621C231">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不</w:t>
                  </w:r>
                  <w:r>
                    <w:rPr>
                      <w:rFonts w:hint="default" w:ascii="Times New Roman" w:hAnsi="Times New Roman" w:cs="Times New Roman"/>
                      <w:sz w:val="18"/>
                      <w:szCs w:val="18"/>
                      <w:highlight w:val="none"/>
                    </w:rPr>
                    <w:t>达标</w:t>
                  </w:r>
                </w:p>
              </w:tc>
            </w:tr>
            <w:tr w14:paraId="1F8D5E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6" w:hRule="atLeast"/>
                <w:jc w:val="center"/>
              </w:trPr>
              <w:tc>
                <w:tcPr>
                  <w:tcW w:w="1150" w:type="pct"/>
                  <w:tcBorders>
                    <w:tl2br w:val="nil"/>
                    <w:tr2bl w:val="nil"/>
                  </w:tcBorders>
                  <w:noWrap w:val="0"/>
                  <w:vAlign w:val="center"/>
                </w:tcPr>
                <w:p w14:paraId="056CC578">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可吸入颗粒物（PM</w:t>
                  </w:r>
                  <w:r>
                    <w:rPr>
                      <w:rFonts w:hint="default" w:ascii="Times New Roman" w:hAnsi="Times New Roman" w:cs="Times New Roman"/>
                      <w:sz w:val="18"/>
                      <w:szCs w:val="18"/>
                      <w:highlight w:val="none"/>
                      <w:vertAlign w:val="subscript"/>
                    </w:rPr>
                    <w:t>10</w:t>
                  </w:r>
                  <w:r>
                    <w:rPr>
                      <w:rFonts w:hint="default" w:ascii="Times New Roman" w:hAnsi="Times New Roman" w:cs="Times New Roman"/>
                      <w:sz w:val="18"/>
                      <w:szCs w:val="18"/>
                      <w:highlight w:val="none"/>
                    </w:rPr>
                    <w:t>）</w:t>
                  </w:r>
                </w:p>
              </w:tc>
              <w:tc>
                <w:tcPr>
                  <w:tcW w:w="1141" w:type="pct"/>
                  <w:tcBorders>
                    <w:tl2br w:val="nil"/>
                    <w:tr2bl w:val="nil"/>
                  </w:tcBorders>
                  <w:noWrap w:val="0"/>
                  <w:vAlign w:val="center"/>
                </w:tcPr>
                <w:p w14:paraId="7A0C483E">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年平均质量浓度</w:t>
                  </w:r>
                </w:p>
              </w:tc>
              <w:tc>
                <w:tcPr>
                  <w:tcW w:w="716" w:type="pct"/>
                  <w:tcBorders>
                    <w:tl2br w:val="nil"/>
                    <w:tr2bl w:val="nil"/>
                  </w:tcBorders>
                  <w:noWrap w:val="0"/>
                  <w:vAlign w:val="center"/>
                </w:tcPr>
                <w:p w14:paraId="6D322AA9">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57</w:t>
                  </w:r>
                </w:p>
              </w:tc>
              <w:tc>
                <w:tcPr>
                  <w:tcW w:w="748" w:type="pct"/>
                  <w:tcBorders>
                    <w:tl2br w:val="nil"/>
                    <w:tr2bl w:val="nil"/>
                  </w:tcBorders>
                  <w:noWrap w:val="0"/>
                  <w:vAlign w:val="center"/>
                </w:tcPr>
                <w:p w14:paraId="719450CC">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70</w:t>
                  </w:r>
                </w:p>
              </w:tc>
              <w:tc>
                <w:tcPr>
                  <w:tcW w:w="631" w:type="pct"/>
                  <w:tcBorders>
                    <w:tl2br w:val="nil"/>
                    <w:tr2bl w:val="nil"/>
                  </w:tcBorders>
                  <w:noWrap w:val="0"/>
                  <w:vAlign w:val="center"/>
                </w:tcPr>
                <w:p w14:paraId="661DD015">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81%</w:t>
                  </w:r>
                </w:p>
              </w:tc>
              <w:tc>
                <w:tcPr>
                  <w:tcW w:w="611" w:type="pct"/>
                  <w:tcBorders>
                    <w:tl2br w:val="nil"/>
                    <w:tr2bl w:val="nil"/>
                  </w:tcBorders>
                  <w:noWrap w:val="0"/>
                  <w:vAlign w:val="center"/>
                </w:tcPr>
                <w:p w14:paraId="62535D32">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达标</w:t>
                  </w:r>
                </w:p>
              </w:tc>
            </w:tr>
            <w:tr w14:paraId="46BC2C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 w:hRule="atLeast"/>
                <w:jc w:val="center"/>
              </w:trPr>
              <w:tc>
                <w:tcPr>
                  <w:tcW w:w="1150" w:type="pct"/>
                  <w:tcBorders>
                    <w:tl2br w:val="nil"/>
                    <w:tr2bl w:val="nil"/>
                  </w:tcBorders>
                  <w:noWrap w:val="0"/>
                  <w:vAlign w:val="center"/>
                </w:tcPr>
                <w:p w14:paraId="76283C02">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二氧化氮</w:t>
                  </w:r>
                </w:p>
              </w:tc>
              <w:tc>
                <w:tcPr>
                  <w:tcW w:w="1141" w:type="pct"/>
                  <w:tcBorders>
                    <w:tl2br w:val="nil"/>
                    <w:tr2bl w:val="nil"/>
                  </w:tcBorders>
                  <w:noWrap w:val="0"/>
                  <w:vAlign w:val="center"/>
                </w:tcPr>
                <w:p w14:paraId="0168D41B">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年平均质量浓度</w:t>
                  </w:r>
                </w:p>
              </w:tc>
              <w:tc>
                <w:tcPr>
                  <w:tcW w:w="716" w:type="pct"/>
                  <w:tcBorders>
                    <w:tl2br w:val="nil"/>
                    <w:tr2bl w:val="nil"/>
                  </w:tcBorders>
                  <w:noWrap w:val="0"/>
                  <w:vAlign w:val="center"/>
                </w:tcPr>
                <w:p w14:paraId="7845AA43">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19</w:t>
                  </w:r>
                </w:p>
              </w:tc>
              <w:tc>
                <w:tcPr>
                  <w:tcW w:w="748" w:type="pct"/>
                  <w:tcBorders>
                    <w:tl2br w:val="nil"/>
                    <w:tr2bl w:val="nil"/>
                  </w:tcBorders>
                  <w:noWrap w:val="0"/>
                  <w:vAlign w:val="center"/>
                </w:tcPr>
                <w:p w14:paraId="29DCA47F">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40</w:t>
                  </w:r>
                </w:p>
              </w:tc>
              <w:tc>
                <w:tcPr>
                  <w:tcW w:w="631" w:type="pct"/>
                  <w:tcBorders>
                    <w:tl2br w:val="nil"/>
                    <w:tr2bl w:val="nil"/>
                  </w:tcBorders>
                  <w:noWrap w:val="0"/>
                  <w:vAlign w:val="center"/>
                </w:tcPr>
                <w:p w14:paraId="7EF92203">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47.5%</w:t>
                  </w:r>
                </w:p>
              </w:tc>
              <w:tc>
                <w:tcPr>
                  <w:tcW w:w="611" w:type="pct"/>
                  <w:tcBorders>
                    <w:tl2br w:val="nil"/>
                    <w:tr2bl w:val="nil"/>
                  </w:tcBorders>
                  <w:noWrap w:val="0"/>
                  <w:vAlign w:val="center"/>
                </w:tcPr>
                <w:p w14:paraId="717AECFF">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达标</w:t>
                  </w:r>
                </w:p>
              </w:tc>
            </w:tr>
            <w:tr w14:paraId="211C7F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1150" w:type="pct"/>
                  <w:tcBorders>
                    <w:tl2br w:val="nil"/>
                    <w:tr2bl w:val="nil"/>
                  </w:tcBorders>
                  <w:noWrap w:val="0"/>
                  <w:vAlign w:val="center"/>
                </w:tcPr>
                <w:p w14:paraId="77BE912D">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二氧化硫</w:t>
                  </w:r>
                </w:p>
              </w:tc>
              <w:tc>
                <w:tcPr>
                  <w:tcW w:w="1141" w:type="pct"/>
                  <w:tcBorders>
                    <w:tl2br w:val="nil"/>
                    <w:tr2bl w:val="nil"/>
                  </w:tcBorders>
                  <w:noWrap w:val="0"/>
                  <w:vAlign w:val="center"/>
                </w:tcPr>
                <w:p w14:paraId="688F2F38">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年平均质量浓度</w:t>
                  </w:r>
                </w:p>
              </w:tc>
              <w:tc>
                <w:tcPr>
                  <w:tcW w:w="716" w:type="pct"/>
                  <w:tcBorders>
                    <w:tl2br w:val="nil"/>
                    <w:tr2bl w:val="nil"/>
                  </w:tcBorders>
                  <w:noWrap w:val="0"/>
                  <w:vAlign w:val="center"/>
                </w:tcPr>
                <w:p w14:paraId="16F69250">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w:t>
                  </w:r>
                </w:p>
              </w:tc>
              <w:tc>
                <w:tcPr>
                  <w:tcW w:w="748" w:type="pct"/>
                  <w:tcBorders>
                    <w:tl2br w:val="nil"/>
                    <w:tr2bl w:val="nil"/>
                  </w:tcBorders>
                  <w:noWrap w:val="0"/>
                  <w:vAlign w:val="center"/>
                </w:tcPr>
                <w:p w14:paraId="0B579655">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60</w:t>
                  </w:r>
                </w:p>
              </w:tc>
              <w:tc>
                <w:tcPr>
                  <w:tcW w:w="631" w:type="pct"/>
                  <w:tcBorders>
                    <w:tl2br w:val="nil"/>
                    <w:tr2bl w:val="nil"/>
                  </w:tcBorders>
                  <w:noWrap w:val="0"/>
                  <w:vAlign w:val="center"/>
                </w:tcPr>
                <w:p w14:paraId="32EB9A7B">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w:t>
                  </w:r>
                </w:p>
              </w:tc>
              <w:tc>
                <w:tcPr>
                  <w:tcW w:w="611" w:type="pct"/>
                  <w:tcBorders>
                    <w:tl2br w:val="nil"/>
                    <w:tr2bl w:val="nil"/>
                  </w:tcBorders>
                  <w:noWrap w:val="0"/>
                  <w:vAlign w:val="center"/>
                </w:tcPr>
                <w:p w14:paraId="5CCB4C52">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达标</w:t>
                  </w:r>
                </w:p>
              </w:tc>
            </w:tr>
            <w:tr w14:paraId="59A70B1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 w:hRule="atLeast"/>
                <w:jc w:val="center"/>
              </w:trPr>
              <w:tc>
                <w:tcPr>
                  <w:tcW w:w="1150" w:type="pct"/>
                  <w:tcBorders>
                    <w:tl2br w:val="nil"/>
                    <w:tr2bl w:val="nil"/>
                  </w:tcBorders>
                  <w:noWrap w:val="0"/>
                  <w:vAlign w:val="center"/>
                </w:tcPr>
                <w:p w14:paraId="3CD3DBE4">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一氧化碳</w:t>
                  </w:r>
                </w:p>
              </w:tc>
              <w:tc>
                <w:tcPr>
                  <w:tcW w:w="1141" w:type="pct"/>
                  <w:tcBorders>
                    <w:tl2br w:val="nil"/>
                    <w:tr2bl w:val="nil"/>
                  </w:tcBorders>
                  <w:noWrap w:val="0"/>
                  <w:vAlign w:val="center"/>
                </w:tcPr>
                <w:p w14:paraId="5EAC5D17">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百分位数日平均</w:t>
                  </w:r>
                </w:p>
              </w:tc>
              <w:tc>
                <w:tcPr>
                  <w:tcW w:w="716" w:type="pct"/>
                  <w:tcBorders>
                    <w:tl2br w:val="nil"/>
                    <w:tr2bl w:val="nil"/>
                  </w:tcBorders>
                  <w:noWrap w:val="0"/>
                  <w:vAlign w:val="center"/>
                </w:tcPr>
                <w:p w14:paraId="22F1947E">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1000</w:t>
                  </w:r>
                </w:p>
              </w:tc>
              <w:tc>
                <w:tcPr>
                  <w:tcW w:w="748" w:type="pct"/>
                  <w:tcBorders>
                    <w:tl2br w:val="nil"/>
                    <w:tr2bl w:val="nil"/>
                  </w:tcBorders>
                  <w:noWrap w:val="0"/>
                  <w:vAlign w:val="center"/>
                </w:tcPr>
                <w:p w14:paraId="56E6D22F">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4000</w:t>
                  </w:r>
                </w:p>
              </w:tc>
              <w:tc>
                <w:tcPr>
                  <w:tcW w:w="631" w:type="pct"/>
                  <w:tcBorders>
                    <w:tl2br w:val="nil"/>
                    <w:tr2bl w:val="nil"/>
                  </w:tcBorders>
                  <w:noWrap w:val="0"/>
                  <w:vAlign w:val="center"/>
                </w:tcPr>
                <w:p w14:paraId="52AEE6E7">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25%</w:t>
                  </w:r>
                </w:p>
              </w:tc>
              <w:tc>
                <w:tcPr>
                  <w:tcW w:w="611" w:type="pct"/>
                  <w:tcBorders>
                    <w:tl2br w:val="nil"/>
                    <w:tr2bl w:val="nil"/>
                  </w:tcBorders>
                  <w:noWrap w:val="0"/>
                  <w:vAlign w:val="center"/>
                </w:tcPr>
                <w:p w14:paraId="6087C586">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达标</w:t>
                  </w:r>
                </w:p>
              </w:tc>
            </w:tr>
            <w:tr w14:paraId="4B262A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7" w:hRule="atLeast"/>
                <w:jc w:val="center"/>
              </w:trPr>
              <w:tc>
                <w:tcPr>
                  <w:tcW w:w="1150" w:type="pct"/>
                  <w:tcBorders>
                    <w:tl2br w:val="nil"/>
                    <w:tr2bl w:val="nil"/>
                  </w:tcBorders>
                  <w:noWrap w:val="0"/>
                  <w:vAlign w:val="center"/>
                </w:tcPr>
                <w:p w14:paraId="75B9FE66">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臭氧</w:t>
                  </w:r>
                </w:p>
              </w:tc>
              <w:tc>
                <w:tcPr>
                  <w:tcW w:w="1141" w:type="pct"/>
                  <w:tcBorders>
                    <w:tl2br w:val="nil"/>
                    <w:tr2bl w:val="nil"/>
                  </w:tcBorders>
                  <w:noWrap w:val="0"/>
                  <w:vAlign w:val="center"/>
                </w:tcPr>
                <w:p w14:paraId="0DE496CA">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8h平均质量浓度</w:t>
                  </w:r>
                </w:p>
              </w:tc>
              <w:tc>
                <w:tcPr>
                  <w:tcW w:w="716" w:type="pct"/>
                  <w:tcBorders>
                    <w:tl2br w:val="nil"/>
                    <w:tr2bl w:val="nil"/>
                  </w:tcBorders>
                  <w:noWrap w:val="0"/>
                  <w:vAlign w:val="center"/>
                </w:tcPr>
                <w:p w14:paraId="2261F8B4">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120</w:t>
                  </w:r>
                </w:p>
              </w:tc>
              <w:tc>
                <w:tcPr>
                  <w:tcW w:w="748" w:type="pct"/>
                  <w:tcBorders>
                    <w:tl2br w:val="nil"/>
                    <w:tr2bl w:val="nil"/>
                  </w:tcBorders>
                  <w:noWrap w:val="0"/>
                  <w:vAlign w:val="center"/>
                </w:tcPr>
                <w:p w14:paraId="26AF53C7">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160</w:t>
                  </w:r>
                </w:p>
              </w:tc>
              <w:tc>
                <w:tcPr>
                  <w:tcW w:w="631" w:type="pct"/>
                  <w:tcBorders>
                    <w:tl2br w:val="nil"/>
                    <w:tr2bl w:val="nil"/>
                  </w:tcBorders>
                  <w:noWrap w:val="0"/>
                  <w:vAlign w:val="center"/>
                </w:tcPr>
                <w:p w14:paraId="3E07E524">
                  <w:pPr>
                    <w:tabs>
                      <w:tab w:val="center" w:pos="4153"/>
                      <w:tab w:val="right" w:pos="8306"/>
                    </w:tabs>
                    <w:snapToGrid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75%</w:t>
                  </w:r>
                </w:p>
              </w:tc>
              <w:tc>
                <w:tcPr>
                  <w:tcW w:w="611" w:type="pct"/>
                  <w:tcBorders>
                    <w:tl2br w:val="nil"/>
                    <w:tr2bl w:val="nil"/>
                  </w:tcBorders>
                  <w:noWrap w:val="0"/>
                  <w:vAlign w:val="center"/>
                </w:tcPr>
                <w:p w14:paraId="0CA89FDA">
                  <w:pPr>
                    <w:tabs>
                      <w:tab w:val="center" w:pos="4153"/>
                      <w:tab w:val="right" w:pos="8306"/>
                    </w:tabs>
                    <w:snapToGrid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达标</w:t>
                  </w:r>
                </w:p>
              </w:tc>
            </w:tr>
          </w:tbl>
          <w:p w14:paraId="31840F9D">
            <w:pPr>
              <w:numPr>
                <w:ilvl w:val="0"/>
                <w:numId w:val="1"/>
              </w:numPr>
              <w:adjustRightInd w:val="0"/>
              <w:snapToGrid w:val="0"/>
              <w:spacing w:line="360" w:lineRule="auto"/>
              <w:ind w:firstLine="420" w:firstLineChars="200"/>
              <w:rPr>
                <w:rFonts w:hint="default" w:ascii="Times New Roman" w:hAnsi="Times New Roman" w:cs="Times New Roman"/>
                <w:b w:val="0"/>
                <w:bCs w:val="0"/>
                <w:color w:val="auto"/>
                <w:kern w:val="0"/>
                <w:szCs w:val="21"/>
                <w:highlight w:val="none"/>
                <w:lang w:eastAsia="zh-CN"/>
              </w:rPr>
            </w:pPr>
            <w:r>
              <w:rPr>
                <w:rFonts w:hint="default" w:ascii="Times New Roman" w:hAnsi="Times New Roman" w:cs="Times New Roman"/>
                <w:b w:val="0"/>
                <w:bCs w:val="0"/>
                <w:color w:val="auto"/>
                <w:kern w:val="0"/>
                <w:szCs w:val="21"/>
                <w:highlight w:val="none"/>
                <w:lang w:eastAsia="zh-CN"/>
              </w:rPr>
              <w:t>特征污染物</w:t>
            </w:r>
          </w:p>
          <w:p w14:paraId="22D1A860">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本项目其他污染物评价因子为：TSP，委托黑龙江泓泽检测评价有限公司于2025年04月21日-2025年04月23日对项目所在区域进行监测。在本项目所在位置下风向布设1个检测点位，评价结果见表3-1。</w:t>
            </w:r>
          </w:p>
          <w:p w14:paraId="263C56C9">
            <w:pPr>
              <w:jc w:val="center"/>
              <w:rPr>
                <w:rFonts w:hint="default" w:ascii="Times New Roman" w:hAnsi="Times New Roman" w:eastAsia="宋体" w:cs="Times New Roman"/>
                <w:b/>
                <w:bCs w:val="0"/>
                <w:kern w:val="0"/>
                <w:sz w:val="21"/>
                <w:szCs w:val="21"/>
                <w:highlight w:val="none"/>
              </w:rPr>
            </w:pPr>
            <w:r>
              <w:rPr>
                <w:rFonts w:hint="default" w:ascii="Times New Roman" w:hAnsi="Times New Roman" w:eastAsia="宋体" w:cs="Times New Roman"/>
                <w:b/>
                <w:bCs w:val="0"/>
                <w:kern w:val="0"/>
                <w:sz w:val="21"/>
                <w:szCs w:val="21"/>
                <w:highlight w:val="none"/>
              </w:rPr>
              <w:t>表3-</w:t>
            </w:r>
            <w:r>
              <w:rPr>
                <w:rFonts w:hint="default" w:ascii="Times New Roman" w:hAnsi="Times New Roman" w:eastAsia="宋体" w:cs="Times New Roman"/>
                <w:b/>
                <w:bCs w:val="0"/>
                <w:kern w:val="0"/>
                <w:sz w:val="21"/>
                <w:szCs w:val="21"/>
                <w:highlight w:val="none"/>
                <w:lang w:val="en-US" w:eastAsia="zh-CN"/>
              </w:rPr>
              <w:t>1</w:t>
            </w:r>
            <w:r>
              <w:rPr>
                <w:rFonts w:hint="default" w:ascii="Times New Roman" w:hAnsi="Times New Roman" w:eastAsia="宋体" w:cs="Times New Roman"/>
                <w:b/>
                <w:bCs w:val="0"/>
                <w:kern w:val="0"/>
                <w:sz w:val="21"/>
                <w:szCs w:val="21"/>
                <w:highlight w:val="none"/>
              </w:rPr>
              <w:t xml:space="preserve">  其他污染物环境质量现状监测结果表</w:t>
            </w:r>
          </w:p>
          <w:tbl>
            <w:tblPr>
              <w:tblStyle w:val="14"/>
              <w:tblW w:w="82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264"/>
              <w:gridCol w:w="3902"/>
              <w:gridCol w:w="1159"/>
            </w:tblGrid>
            <w:tr w14:paraId="6E356B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2" w:type="dxa"/>
                  <w:vMerge w:val="restart"/>
                  <w:noWrap w:val="0"/>
                  <w:vAlign w:val="center"/>
                </w:tcPr>
                <w:p w14:paraId="106564C8">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eastAsia="zh-CN"/>
                    </w:rPr>
                    <w:t>采</w:t>
                  </w:r>
                  <w:r>
                    <w:rPr>
                      <w:rFonts w:hint="default" w:ascii="Times New Roman" w:hAnsi="Times New Roman" w:eastAsia="宋体" w:cs="Times New Roman"/>
                      <w:szCs w:val="21"/>
                      <w:highlight w:val="none"/>
                    </w:rPr>
                    <w:t>样日期</w:t>
                  </w:r>
                </w:p>
              </w:tc>
              <w:tc>
                <w:tcPr>
                  <w:tcW w:w="1264" w:type="dxa"/>
                  <w:vMerge w:val="restart"/>
                  <w:noWrap w:val="0"/>
                  <w:vAlign w:val="center"/>
                </w:tcPr>
                <w:p w14:paraId="4598323E">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lang w:eastAsia="zh-CN"/>
                    </w:rPr>
                    <w:t>检</w:t>
                  </w:r>
                  <w:r>
                    <w:rPr>
                      <w:rFonts w:hint="default" w:ascii="Times New Roman" w:hAnsi="Times New Roman" w:eastAsia="宋体" w:cs="Times New Roman"/>
                      <w:szCs w:val="21"/>
                      <w:highlight w:val="none"/>
                    </w:rPr>
                    <w:t>测项目</w:t>
                  </w:r>
                </w:p>
              </w:tc>
              <w:tc>
                <w:tcPr>
                  <w:tcW w:w="3902" w:type="dxa"/>
                  <w:noWrap w:val="0"/>
                  <w:vAlign w:val="center"/>
                </w:tcPr>
                <w:p w14:paraId="517E6D6A">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监测点位及检测结果</w:t>
                  </w:r>
                </w:p>
              </w:tc>
              <w:tc>
                <w:tcPr>
                  <w:tcW w:w="1159" w:type="dxa"/>
                  <w:vMerge w:val="restart"/>
                  <w:noWrap w:val="0"/>
                  <w:vAlign w:val="center"/>
                </w:tcPr>
                <w:p w14:paraId="407D6288">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限值</w:t>
                  </w:r>
                </w:p>
              </w:tc>
            </w:tr>
            <w:tr w14:paraId="0346A3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2" w:type="dxa"/>
                  <w:vMerge w:val="continue"/>
                  <w:noWrap w:val="0"/>
                  <w:vAlign w:val="center"/>
                </w:tcPr>
                <w:p w14:paraId="3EABA04C">
                  <w:pPr>
                    <w:jc w:val="center"/>
                    <w:rPr>
                      <w:rFonts w:hint="default" w:ascii="Times New Roman" w:hAnsi="Times New Roman" w:eastAsia="宋体" w:cs="Times New Roman"/>
                      <w:szCs w:val="21"/>
                      <w:highlight w:val="none"/>
                    </w:rPr>
                  </w:pPr>
                </w:p>
              </w:tc>
              <w:tc>
                <w:tcPr>
                  <w:tcW w:w="1264" w:type="dxa"/>
                  <w:vMerge w:val="continue"/>
                  <w:noWrap w:val="0"/>
                  <w:vAlign w:val="center"/>
                </w:tcPr>
                <w:p w14:paraId="00E5FEAF">
                  <w:pPr>
                    <w:jc w:val="center"/>
                    <w:rPr>
                      <w:rFonts w:hint="default" w:ascii="Times New Roman" w:hAnsi="Times New Roman" w:eastAsia="宋体" w:cs="Times New Roman"/>
                      <w:szCs w:val="21"/>
                      <w:highlight w:val="none"/>
                    </w:rPr>
                  </w:pPr>
                </w:p>
              </w:tc>
              <w:tc>
                <w:tcPr>
                  <w:tcW w:w="3902" w:type="dxa"/>
                  <w:noWrap w:val="0"/>
                  <w:vAlign w:val="center"/>
                </w:tcPr>
                <w:p w14:paraId="6CE234B3">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highlight w:val="none"/>
                    </w:rPr>
                    <w:t>主导风向下风向5km范围内</w:t>
                  </w:r>
                </w:p>
              </w:tc>
              <w:tc>
                <w:tcPr>
                  <w:tcW w:w="1159" w:type="dxa"/>
                  <w:vMerge w:val="continue"/>
                  <w:noWrap w:val="0"/>
                  <w:vAlign w:val="center"/>
                </w:tcPr>
                <w:p w14:paraId="74920724">
                  <w:pPr>
                    <w:jc w:val="center"/>
                    <w:rPr>
                      <w:rFonts w:hint="default" w:ascii="Times New Roman" w:hAnsi="Times New Roman" w:eastAsia="宋体" w:cs="Times New Roman"/>
                      <w:szCs w:val="21"/>
                      <w:highlight w:val="none"/>
                      <w:lang w:val="en-US" w:eastAsia="zh-CN"/>
                    </w:rPr>
                  </w:pPr>
                </w:p>
              </w:tc>
            </w:tr>
            <w:tr w14:paraId="0806A6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2" w:type="dxa"/>
                  <w:noWrap w:val="0"/>
                  <w:vAlign w:val="center"/>
                </w:tcPr>
                <w:p w14:paraId="73067E02">
                  <w:pPr>
                    <w:spacing w:line="240" w:lineRule="auto"/>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szCs w:val="21"/>
                      <w:highlight w:val="none"/>
                      <w:lang w:eastAsia="zh-CN"/>
                    </w:rPr>
                    <w:t>2025年04</w:t>
                  </w:r>
                  <w:r>
                    <w:rPr>
                      <w:rFonts w:hint="default" w:ascii="Times New Roman" w:hAnsi="Times New Roman" w:eastAsia="宋体" w:cs="Times New Roman"/>
                      <w:color w:val="auto"/>
                      <w:szCs w:val="21"/>
                      <w:highlight w:val="none"/>
                    </w:rPr>
                    <w:t>月</w:t>
                  </w:r>
                  <w:r>
                    <w:rPr>
                      <w:rFonts w:hint="default" w:ascii="Times New Roman" w:hAnsi="Times New Roman" w:cs="Times New Roman"/>
                      <w:color w:val="auto"/>
                      <w:szCs w:val="21"/>
                      <w:highlight w:val="none"/>
                      <w:lang w:val="en-US" w:eastAsia="zh-CN"/>
                    </w:rPr>
                    <w:t>21</w:t>
                  </w:r>
                  <w:r>
                    <w:rPr>
                      <w:rFonts w:hint="default" w:ascii="Times New Roman" w:hAnsi="Times New Roman" w:eastAsia="宋体" w:cs="Times New Roman"/>
                      <w:color w:val="auto"/>
                      <w:szCs w:val="21"/>
                      <w:highlight w:val="none"/>
                    </w:rPr>
                    <w:t>日</w:t>
                  </w:r>
                </w:p>
              </w:tc>
              <w:tc>
                <w:tcPr>
                  <w:tcW w:w="1264" w:type="dxa"/>
                  <w:noWrap w:val="0"/>
                  <w:vAlign w:val="center"/>
                </w:tcPr>
                <w:p w14:paraId="78A2B99B">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TSP</w:t>
                  </w:r>
                </w:p>
              </w:tc>
              <w:tc>
                <w:tcPr>
                  <w:tcW w:w="3902" w:type="dxa"/>
                  <w:noWrap w:val="0"/>
                  <w:vAlign w:val="center"/>
                </w:tcPr>
                <w:p w14:paraId="1DED943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0.110</w:t>
                  </w:r>
                </w:p>
              </w:tc>
              <w:tc>
                <w:tcPr>
                  <w:tcW w:w="1159" w:type="dxa"/>
                  <w:noWrap w:val="0"/>
                  <w:vAlign w:val="center"/>
                </w:tcPr>
                <w:p w14:paraId="603012C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0.3</w:t>
                  </w:r>
                </w:p>
              </w:tc>
            </w:tr>
            <w:tr w14:paraId="333911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2" w:type="dxa"/>
                  <w:noWrap w:val="0"/>
                  <w:vAlign w:val="center"/>
                </w:tcPr>
                <w:p w14:paraId="613CCEF3">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eastAsia="zh-CN"/>
                    </w:rPr>
                    <w:t>2025年04</w:t>
                  </w:r>
                  <w:r>
                    <w:rPr>
                      <w:rFonts w:hint="default" w:ascii="Times New Roman" w:hAnsi="Times New Roman" w:eastAsia="宋体" w:cs="Times New Roman"/>
                      <w:color w:val="auto"/>
                      <w:szCs w:val="21"/>
                      <w:highlight w:val="none"/>
                    </w:rPr>
                    <w:t>月</w:t>
                  </w:r>
                  <w:r>
                    <w:rPr>
                      <w:rFonts w:hint="default" w:ascii="Times New Roman" w:hAnsi="Times New Roman" w:cs="Times New Roman"/>
                      <w:color w:val="auto"/>
                      <w:szCs w:val="21"/>
                      <w:highlight w:val="none"/>
                      <w:lang w:val="en-US" w:eastAsia="zh-CN"/>
                    </w:rPr>
                    <w:t>22</w:t>
                  </w:r>
                  <w:r>
                    <w:rPr>
                      <w:rFonts w:hint="default" w:ascii="Times New Roman" w:hAnsi="Times New Roman" w:eastAsia="宋体" w:cs="Times New Roman"/>
                      <w:color w:val="auto"/>
                      <w:szCs w:val="21"/>
                      <w:highlight w:val="none"/>
                    </w:rPr>
                    <w:t>日</w:t>
                  </w:r>
                </w:p>
              </w:tc>
              <w:tc>
                <w:tcPr>
                  <w:tcW w:w="1264" w:type="dxa"/>
                  <w:noWrap w:val="0"/>
                  <w:vAlign w:val="center"/>
                </w:tcPr>
                <w:p w14:paraId="73456110">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kern w:val="2"/>
                      <w:sz w:val="21"/>
                      <w:szCs w:val="21"/>
                      <w:highlight w:val="none"/>
                      <w:lang w:val="en-US" w:eastAsia="zh-CN" w:bidi="ar-SA"/>
                    </w:rPr>
                    <w:t>TSP</w:t>
                  </w:r>
                </w:p>
              </w:tc>
              <w:tc>
                <w:tcPr>
                  <w:tcW w:w="3902" w:type="dxa"/>
                  <w:noWrap w:val="0"/>
                  <w:vAlign w:val="center"/>
                </w:tcPr>
                <w:p w14:paraId="6D8B541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0.106</w:t>
                  </w:r>
                </w:p>
              </w:tc>
              <w:tc>
                <w:tcPr>
                  <w:tcW w:w="1159" w:type="dxa"/>
                  <w:noWrap w:val="0"/>
                  <w:vAlign w:val="center"/>
                </w:tcPr>
                <w:p w14:paraId="20E01D79">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0.3</w:t>
                  </w:r>
                </w:p>
              </w:tc>
            </w:tr>
            <w:tr w14:paraId="745EED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12" w:type="dxa"/>
                  <w:noWrap w:val="0"/>
                  <w:vAlign w:val="center"/>
                </w:tcPr>
                <w:p w14:paraId="29BA8936">
                  <w:pPr>
                    <w:spacing w:line="240" w:lineRule="auto"/>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eastAsia="zh-CN"/>
                    </w:rPr>
                    <w:t>2025年04</w:t>
                  </w:r>
                  <w:r>
                    <w:rPr>
                      <w:rFonts w:hint="default" w:ascii="Times New Roman" w:hAnsi="Times New Roman" w:eastAsia="宋体" w:cs="Times New Roman"/>
                      <w:color w:val="auto"/>
                      <w:szCs w:val="21"/>
                      <w:highlight w:val="none"/>
                    </w:rPr>
                    <w:t>月</w:t>
                  </w:r>
                  <w:r>
                    <w:rPr>
                      <w:rFonts w:hint="default" w:ascii="Times New Roman" w:hAnsi="Times New Roman" w:cs="Times New Roman"/>
                      <w:color w:val="auto"/>
                      <w:szCs w:val="21"/>
                      <w:highlight w:val="none"/>
                      <w:lang w:val="en-US" w:eastAsia="zh-CN"/>
                    </w:rPr>
                    <w:t>23</w:t>
                  </w:r>
                  <w:r>
                    <w:rPr>
                      <w:rFonts w:hint="default" w:ascii="Times New Roman" w:hAnsi="Times New Roman" w:eastAsia="宋体" w:cs="Times New Roman"/>
                      <w:color w:val="auto"/>
                      <w:szCs w:val="21"/>
                      <w:highlight w:val="none"/>
                    </w:rPr>
                    <w:t>日</w:t>
                  </w:r>
                </w:p>
              </w:tc>
              <w:tc>
                <w:tcPr>
                  <w:tcW w:w="1264" w:type="dxa"/>
                  <w:noWrap w:val="0"/>
                  <w:vAlign w:val="center"/>
                </w:tcPr>
                <w:p w14:paraId="2C661384">
                  <w:pPr>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kern w:val="2"/>
                      <w:sz w:val="21"/>
                      <w:szCs w:val="21"/>
                      <w:highlight w:val="none"/>
                      <w:lang w:val="en-US" w:eastAsia="zh-CN" w:bidi="ar-SA"/>
                    </w:rPr>
                    <w:t>TSP</w:t>
                  </w:r>
                </w:p>
              </w:tc>
              <w:tc>
                <w:tcPr>
                  <w:tcW w:w="3902" w:type="dxa"/>
                  <w:noWrap w:val="0"/>
                  <w:vAlign w:val="center"/>
                </w:tcPr>
                <w:p w14:paraId="2E02F61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0.100</w:t>
                  </w:r>
                </w:p>
              </w:tc>
              <w:tc>
                <w:tcPr>
                  <w:tcW w:w="1159" w:type="dxa"/>
                  <w:noWrap w:val="0"/>
                  <w:vAlign w:val="center"/>
                </w:tcPr>
                <w:p w14:paraId="075F99E6">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0.3</w:t>
                  </w:r>
                </w:p>
              </w:tc>
            </w:tr>
          </w:tbl>
          <w:p w14:paraId="7A5A5E0B">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2、地表水环境</w:t>
            </w:r>
          </w:p>
          <w:p w14:paraId="7C1BEB10">
            <w:pPr>
              <w:adjustRightInd w:val="0"/>
              <w:snapToGrid w:val="0"/>
              <w:spacing w:line="360" w:lineRule="auto"/>
              <w:ind w:firstLine="420" w:firstLineChars="200"/>
              <w:rPr>
                <w:rFonts w:hint="default" w:ascii="Times New Roman" w:hAnsi="Times New Roman" w:cs="Times New Roman"/>
                <w:b w:val="0"/>
                <w:bCs w:val="0"/>
                <w:color w:val="auto"/>
                <w:kern w:val="0"/>
                <w:szCs w:val="21"/>
                <w:highlight w:val="none"/>
                <w:lang w:val="en-US" w:eastAsia="zh-CN"/>
              </w:rPr>
            </w:pPr>
            <w:r>
              <w:rPr>
                <w:rFonts w:hint="default" w:ascii="Times New Roman" w:hAnsi="Times New Roman" w:cs="Times New Roman"/>
                <w:b w:val="0"/>
                <w:bCs w:val="0"/>
                <w:color w:val="auto"/>
                <w:kern w:val="0"/>
                <w:szCs w:val="21"/>
                <w:highlight w:val="none"/>
              </w:rPr>
              <w:t>本项目纳污水体为呼兰河</w:t>
            </w:r>
            <w:r>
              <w:rPr>
                <w:rFonts w:hint="default" w:ascii="Times New Roman" w:hAnsi="Times New Roman" w:cs="Times New Roman"/>
                <w:b w:val="0"/>
                <w:bCs w:val="0"/>
                <w:color w:val="auto"/>
                <w:kern w:val="0"/>
                <w:szCs w:val="21"/>
                <w:highlight w:val="none"/>
                <w:lang w:eastAsia="zh-CN"/>
              </w:rPr>
              <w:t>，</w:t>
            </w:r>
            <w:r>
              <w:rPr>
                <w:rFonts w:hint="default" w:ascii="Times New Roman" w:hAnsi="Times New Roman" w:cs="Times New Roman"/>
                <w:b w:val="0"/>
                <w:bCs w:val="0"/>
                <w:color w:val="auto"/>
                <w:kern w:val="0"/>
                <w:szCs w:val="21"/>
                <w:highlight w:val="none"/>
              </w:rPr>
              <w:t>根据绥化市环境保护局发布的《202</w:t>
            </w:r>
            <w:r>
              <w:rPr>
                <w:rFonts w:hint="default" w:ascii="Times New Roman" w:hAnsi="Times New Roman" w:cs="Times New Roman"/>
                <w:b w:val="0"/>
                <w:bCs w:val="0"/>
                <w:color w:val="auto"/>
                <w:kern w:val="0"/>
                <w:szCs w:val="21"/>
                <w:highlight w:val="none"/>
                <w:lang w:val="en-US" w:eastAsia="zh-CN"/>
              </w:rPr>
              <w:t>4</w:t>
            </w:r>
            <w:r>
              <w:rPr>
                <w:rFonts w:hint="default" w:ascii="Times New Roman" w:hAnsi="Times New Roman" w:cs="Times New Roman"/>
                <w:b w:val="0"/>
                <w:bCs w:val="0"/>
                <w:color w:val="auto"/>
                <w:kern w:val="0"/>
                <w:szCs w:val="21"/>
                <w:highlight w:val="none"/>
              </w:rPr>
              <w:t>年绥化市环境质量年报》</w:t>
            </w:r>
            <w:r>
              <w:rPr>
                <w:rFonts w:hint="default" w:ascii="Times New Roman" w:hAnsi="Times New Roman" w:cs="Times New Roman"/>
                <w:b w:val="0"/>
                <w:bCs w:val="0"/>
                <w:color w:val="auto"/>
                <w:kern w:val="0"/>
                <w:szCs w:val="21"/>
                <w:highlight w:val="none"/>
                <w:lang w:eastAsia="zh-CN"/>
              </w:rPr>
              <w:t>，本项目</w:t>
            </w:r>
            <w:r>
              <w:rPr>
                <w:rFonts w:hint="default" w:ascii="Times New Roman" w:hAnsi="Times New Roman" w:cs="Times New Roman"/>
                <w:b w:val="0"/>
                <w:bCs w:val="0"/>
                <w:color w:val="auto"/>
                <w:kern w:val="0"/>
                <w:szCs w:val="21"/>
                <w:highlight w:val="none"/>
              </w:rPr>
              <w:t>处于</w:t>
            </w:r>
            <w:r>
              <w:rPr>
                <w:rFonts w:hint="default" w:ascii="Times New Roman" w:hAnsi="Times New Roman" w:cs="Times New Roman"/>
                <w:b w:val="0"/>
                <w:bCs w:val="0"/>
                <w:color w:val="auto"/>
                <w:kern w:val="0"/>
                <w:szCs w:val="21"/>
                <w:highlight w:val="none"/>
                <w:lang w:val="en-US" w:eastAsia="zh-CN"/>
              </w:rPr>
              <w:t>榆林镇鞍山屯</w:t>
            </w:r>
            <w:r>
              <w:rPr>
                <w:rFonts w:hint="default" w:ascii="Times New Roman" w:hAnsi="Times New Roman" w:cs="Times New Roman"/>
                <w:b w:val="0"/>
                <w:bCs w:val="0"/>
                <w:color w:val="auto"/>
                <w:kern w:val="0"/>
                <w:szCs w:val="21"/>
                <w:highlight w:val="none"/>
              </w:rPr>
              <w:t>断面，断面水体规划类别为Ⅲ类水体，现状水体类别为Ⅲ类水体</w:t>
            </w:r>
            <w:r>
              <w:rPr>
                <w:rFonts w:hint="default" w:ascii="Times New Roman" w:hAnsi="Times New Roman" w:cs="Times New Roman"/>
                <w:b w:val="0"/>
                <w:bCs w:val="0"/>
                <w:color w:val="auto"/>
                <w:kern w:val="0"/>
                <w:szCs w:val="21"/>
                <w:highlight w:val="none"/>
                <w:lang w:eastAsia="zh-CN"/>
              </w:rPr>
              <w:t>，</w:t>
            </w:r>
            <w:r>
              <w:rPr>
                <w:rFonts w:hint="default" w:ascii="Times New Roman" w:hAnsi="Times New Roman" w:cs="Times New Roman"/>
                <w:b w:val="0"/>
                <w:bCs w:val="0"/>
                <w:color w:val="auto"/>
                <w:kern w:val="0"/>
                <w:szCs w:val="21"/>
                <w:highlight w:val="none"/>
              </w:rPr>
              <w:t>现状水体质量满足《地表水环境质量标准》</w:t>
            </w:r>
            <w:r>
              <w:rPr>
                <w:rFonts w:hint="default" w:ascii="Times New Roman" w:hAnsi="Times New Roman" w:cs="Times New Roman"/>
                <w:b w:val="0"/>
                <w:bCs w:val="0"/>
                <w:color w:val="auto"/>
                <w:kern w:val="0"/>
                <w:szCs w:val="21"/>
                <w:highlight w:val="none"/>
                <w:lang w:eastAsia="zh-CN"/>
              </w:rPr>
              <w:t>（</w:t>
            </w:r>
            <w:r>
              <w:rPr>
                <w:rFonts w:hint="default" w:ascii="Times New Roman" w:hAnsi="Times New Roman" w:cs="Times New Roman"/>
                <w:b w:val="0"/>
                <w:bCs w:val="0"/>
                <w:color w:val="auto"/>
                <w:kern w:val="0"/>
                <w:szCs w:val="21"/>
                <w:highlight w:val="none"/>
              </w:rPr>
              <w:t>GB3838-2002</w:t>
            </w:r>
            <w:r>
              <w:rPr>
                <w:rFonts w:hint="default" w:ascii="Times New Roman" w:hAnsi="Times New Roman" w:cs="Times New Roman"/>
                <w:b w:val="0"/>
                <w:bCs w:val="0"/>
                <w:color w:val="auto"/>
                <w:kern w:val="0"/>
                <w:szCs w:val="21"/>
                <w:highlight w:val="none"/>
                <w:lang w:eastAsia="zh-CN"/>
              </w:rPr>
              <w:t>）Ⅲ</w:t>
            </w:r>
            <w:r>
              <w:rPr>
                <w:rFonts w:hint="default" w:ascii="Times New Roman" w:hAnsi="Times New Roman" w:cs="Times New Roman"/>
                <w:b w:val="0"/>
                <w:bCs w:val="0"/>
                <w:color w:val="auto"/>
                <w:kern w:val="0"/>
                <w:szCs w:val="21"/>
                <w:highlight w:val="none"/>
              </w:rPr>
              <w:t>类标准要求。</w:t>
            </w:r>
          </w:p>
          <w:p w14:paraId="5748ADA5">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3、声环境</w:t>
            </w:r>
          </w:p>
          <w:p w14:paraId="45C5FC81">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1</w:t>
            </w:r>
            <w:r>
              <w:rPr>
                <w:rFonts w:hint="default" w:ascii="Times New Roman" w:hAnsi="Times New Roman" w:cs="Times New Roman"/>
                <w:bCs/>
                <w:color w:val="auto"/>
                <w:szCs w:val="21"/>
                <w:highlight w:val="none"/>
              </w:rPr>
              <w:t>）监测方法</w:t>
            </w:r>
          </w:p>
          <w:p w14:paraId="3EFDBF64">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环境噪声按照《声环境质量标准》（GB3096-2008）中的有关规定执行。</w:t>
            </w:r>
          </w:p>
          <w:p w14:paraId="1FD11698">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）监测单位及时间</w:t>
            </w:r>
          </w:p>
          <w:p w14:paraId="39498053">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eastAsia="zh-CN"/>
              </w:rPr>
              <w:t>由黑龙江泓泽检测评价有限公司</w:t>
            </w:r>
            <w:r>
              <w:rPr>
                <w:rFonts w:hint="default" w:ascii="Times New Roman" w:hAnsi="Times New Roman" w:cs="Times New Roman"/>
                <w:bCs/>
                <w:color w:val="auto"/>
                <w:szCs w:val="21"/>
                <w:highlight w:val="none"/>
              </w:rPr>
              <w:t>于202</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年</w:t>
            </w:r>
            <w:r>
              <w:rPr>
                <w:rFonts w:hint="default" w:ascii="Times New Roman" w:hAnsi="Times New Roman" w:cs="Times New Roman"/>
                <w:bCs/>
                <w:color w:val="auto"/>
                <w:szCs w:val="21"/>
                <w:highlight w:val="none"/>
                <w:lang w:val="en-US" w:eastAsia="zh-CN"/>
              </w:rPr>
              <w:t>4</w:t>
            </w:r>
            <w:r>
              <w:rPr>
                <w:rFonts w:hint="default" w:ascii="Times New Roman" w:hAnsi="Times New Roman" w:cs="Times New Roman"/>
                <w:bCs/>
                <w:color w:val="auto"/>
                <w:szCs w:val="21"/>
                <w:highlight w:val="none"/>
              </w:rPr>
              <w:t>月</w:t>
            </w:r>
            <w:r>
              <w:rPr>
                <w:rFonts w:hint="default" w:ascii="Times New Roman" w:hAnsi="Times New Roman" w:cs="Times New Roman"/>
                <w:bCs/>
                <w:color w:val="auto"/>
                <w:szCs w:val="21"/>
                <w:highlight w:val="none"/>
                <w:lang w:val="en-US" w:eastAsia="zh-CN"/>
              </w:rPr>
              <w:t>21</w:t>
            </w:r>
            <w:r>
              <w:rPr>
                <w:rFonts w:hint="default" w:ascii="Times New Roman" w:hAnsi="Times New Roman" w:cs="Times New Roman"/>
                <w:bCs/>
                <w:color w:val="auto"/>
                <w:szCs w:val="21"/>
                <w:highlight w:val="none"/>
              </w:rPr>
              <w:t>日</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rPr>
              <w:t>202</w:t>
            </w:r>
            <w:r>
              <w:rPr>
                <w:rFonts w:hint="default" w:ascii="Times New Roman" w:hAnsi="Times New Roman" w:cs="Times New Roman"/>
                <w:bCs/>
                <w:color w:val="auto"/>
                <w:szCs w:val="21"/>
                <w:highlight w:val="none"/>
                <w:lang w:val="en-US" w:eastAsia="zh-CN"/>
              </w:rPr>
              <w:t>5</w:t>
            </w:r>
            <w:r>
              <w:rPr>
                <w:rFonts w:hint="default" w:ascii="Times New Roman" w:hAnsi="Times New Roman" w:cs="Times New Roman"/>
                <w:bCs/>
                <w:color w:val="auto"/>
                <w:szCs w:val="21"/>
                <w:highlight w:val="none"/>
              </w:rPr>
              <w:t>年</w:t>
            </w:r>
            <w:r>
              <w:rPr>
                <w:rFonts w:hint="default" w:ascii="Times New Roman" w:hAnsi="Times New Roman" w:cs="Times New Roman"/>
                <w:bCs/>
                <w:color w:val="auto"/>
                <w:szCs w:val="21"/>
                <w:highlight w:val="none"/>
                <w:lang w:val="en-US" w:eastAsia="zh-CN"/>
              </w:rPr>
              <w:t>4</w:t>
            </w:r>
            <w:r>
              <w:rPr>
                <w:rFonts w:hint="default" w:ascii="Times New Roman" w:hAnsi="Times New Roman" w:cs="Times New Roman"/>
                <w:bCs/>
                <w:color w:val="auto"/>
                <w:szCs w:val="21"/>
                <w:highlight w:val="none"/>
              </w:rPr>
              <w:t>月</w:t>
            </w:r>
            <w:r>
              <w:rPr>
                <w:rFonts w:hint="default" w:ascii="Times New Roman" w:hAnsi="Times New Roman" w:cs="Times New Roman"/>
                <w:bCs/>
                <w:color w:val="auto"/>
                <w:szCs w:val="21"/>
                <w:highlight w:val="none"/>
                <w:lang w:val="en-US" w:eastAsia="zh-CN"/>
              </w:rPr>
              <w:t>22</w:t>
            </w:r>
            <w:r>
              <w:rPr>
                <w:rFonts w:hint="default" w:ascii="Times New Roman" w:hAnsi="Times New Roman" w:cs="Times New Roman"/>
                <w:bCs/>
                <w:color w:val="auto"/>
                <w:szCs w:val="21"/>
                <w:highlight w:val="none"/>
              </w:rPr>
              <w:t>日，监测</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天，每天昼夜各测1次。</w:t>
            </w:r>
          </w:p>
          <w:p w14:paraId="28AE039E">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）监测结果</w:t>
            </w:r>
          </w:p>
          <w:p w14:paraId="590E0B30">
            <w:pPr>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环境噪声监测结果见表3-</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w:t>
            </w:r>
          </w:p>
          <w:p w14:paraId="5F95CB32">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表3-</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 xml:space="preserve">  项目所在地声环境现状监测结果  单位：dB(A)</w:t>
            </w:r>
          </w:p>
          <w:tbl>
            <w:tblPr>
              <w:tblStyle w:val="14"/>
              <w:tblW w:w="83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1024"/>
              <w:gridCol w:w="1026"/>
              <w:gridCol w:w="1024"/>
              <w:gridCol w:w="1028"/>
              <w:gridCol w:w="1104"/>
              <w:gridCol w:w="1233"/>
            </w:tblGrid>
            <w:tr w14:paraId="492201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vMerge w:val="restart"/>
                  <w:tcBorders>
                    <w:tl2br w:val="nil"/>
                    <w:tr2bl w:val="nil"/>
                  </w:tcBorders>
                  <w:noWrap w:val="0"/>
                  <w:vAlign w:val="center"/>
                </w:tcPr>
                <w:p w14:paraId="0436BB19">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监测点位</w:t>
                  </w:r>
                </w:p>
              </w:tc>
              <w:tc>
                <w:tcPr>
                  <w:tcW w:w="2050" w:type="dxa"/>
                  <w:gridSpan w:val="2"/>
                  <w:tcBorders>
                    <w:tl2br w:val="nil"/>
                    <w:tr2bl w:val="nil"/>
                  </w:tcBorders>
                  <w:noWrap w:val="0"/>
                  <w:vAlign w:val="center"/>
                </w:tcPr>
                <w:p w14:paraId="07500561">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color w:val="auto"/>
                      <w:szCs w:val="21"/>
                      <w:highlight w:val="none"/>
                      <w:lang w:eastAsia="zh-CN"/>
                    </w:rPr>
                    <w:t>2025年04</w:t>
                  </w:r>
                  <w:r>
                    <w:rPr>
                      <w:rFonts w:hint="default" w:ascii="Times New Roman" w:hAnsi="Times New Roman" w:eastAsia="宋体" w:cs="Times New Roman"/>
                      <w:color w:val="auto"/>
                      <w:szCs w:val="21"/>
                      <w:highlight w:val="none"/>
                    </w:rPr>
                    <w:t>月</w:t>
                  </w:r>
                  <w:r>
                    <w:rPr>
                      <w:rFonts w:hint="default" w:ascii="Times New Roman" w:hAnsi="Times New Roman" w:cs="Times New Roman"/>
                      <w:color w:val="auto"/>
                      <w:szCs w:val="21"/>
                      <w:highlight w:val="none"/>
                      <w:lang w:val="en-US" w:eastAsia="zh-CN"/>
                    </w:rPr>
                    <w:t>21</w:t>
                  </w:r>
                  <w:r>
                    <w:rPr>
                      <w:rFonts w:hint="default" w:ascii="Times New Roman" w:hAnsi="Times New Roman" w:eastAsia="宋体" w:cs="Times New Roman"/>
                      <w:color w:val="auto"/>
                      <w:szCs w:val="21"/>
                      <w:highlight w:val="none"/>
                    </w:rPr>
                    <w:t>日</w:t>
                  </w:r>
                </w:p>
              </w:tc>
              <w:tc>
                <w:tcPr>
                  <w:tcW w:w="2052" w:type="dxa"/>
                  <w:gridSpan w:val="2"/>
                  <w:tcBorders>
                    <w:tl2br w:val="nil"/>
                    <w:tr2bl w:val="nil"/>
                  </w:tcBorders>
                  <w:noWrap w:val="0"/>
                  <w:vAlign w:val="center"/>
                </w:tcPr>
                <w:p w14:paraId="4456847A">
                  <w:pPr>
                    <w:spacing w:line="240" w:lineRule="auto"/>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2025年04</w:t>
                  </w:r>
                  <w:r>
                    <w:rPr>
                      <w:rFonts w:hint="default" w:ascii="Times New Roman" w:hAnsi="Times New Roman" w:eastAsia="宋体" w:cs="Times New Roman"/>
                      <w:color w:val="auto"/>
                      <w:szCs w:val="21"/>
                      <w:highlight w:val="none"/>
                    </w:rPr>
                    <w:t>月</w:t>
                  </w:r>
                  <w:r>
                    <w:rPr>
                      <w:rFonts w:hint="default" w:ascii="Times New Roman" w:hAnsi="Times New Roman" w:cs="Times New Roman"/>
                      <w:color w:val="auto"/>
                      <w:szCs w:val="21"/>
                      <w:highlight w:val="none"/>
                      <w:lang w:val="en-US" w:eastAsia="zh-CN"/>
                    </w:rPr>
                    <w:t>22</w:t>
                  </w:r>
                  <w:r>
                    <w:rPr>
                      <w:rFonts w:hint="default" w:ascii="Times New Roman" w:hAnsi="Times New Roman" w:eastAsia="宋体" w:cs="Times New Roman"/>
                      <w:color w:val="auto"/>
                      <w:szCs w:val="21"/>
                      <w:highlight w:val="none"/>
                    </w:rPr>
                    <w:t>日</w:t>
                  </w:r>
                </w:p>
              </w:tc>
              <w:tc>
                <w:tcPr>
                  <w:tcW w:w="2337" w:type="dxa"/>
                  <w:gridSpan w:val="2"/>
                  <w:tcBorders>
                    <w:tl2br w:val="nil"/>
                    <w:tr2bl w:val="nil"/>
                  </w:tcBorders>
                  <w:noWrap w:val="0"/>
                  <w:vAlign w:val="center"/>
                </w:tcPr>
                <w:p w14:paraId="24528105">
                  <w:pPr>
                    <w:spacing w:line="240" w:lineRule="auto"/>
                    <w:jc w:val="center"/>
                    <w:rPr>
                      <w:rFonts w:hint="default" w:ascii="Times New Roman" w:hAnsi="Times New Roman" w:eastAsia="宋体" w:cs="Times New Roman"/>
                      <w:szCs w:val="21"/>
                      <w:highlight w:val="none"/>
                      <w:lang w:val="zh-CN" w:eastAsia="zh-CN"/>
                    </w:rPr>
                  </w:pPr>
                  <w:r>
                    <w:rPr>
                      <w:rFonts w:hint="default" w:ascii="Times New Roman" w:hAnsi="Times New Roman" w:eastAsia="宋体" w:cs="Times New Roman"/>
                      <w:szCs w:val="21"/>
                      <w:highlight w:val="none"/>
                      <w:lang w:val="zh-CN" w:eastAsia="zh-CN"/>
                    </w:rPr>
                    <w:t>限值</w:t>
                  </w:r>
                </w:p>
              </w:tc>
            </w:tr>
            <w:tr w14:paraId="55A098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vMerge w:val="continue"/>
                  <w:tcBorders>
                    <w:tl2br w:val="nil"/>
                    <w:tr2bl w:val="nil"/>
                  </w:tcBorders>
                  <w:noWrap w:val="0"/>
                  <w:vAlign w:val="center"/>
                </w:tcPr>
                <w:p w14:paraId="44D8A854">
                  <w:pPr>
                    <w:spacing w:line="240" w:lineRule="auto"/>
                    <w:jc w:val="center"/>
                    <w:rPr>
                      <w:rFonts w:hint="default" w:ascii="Times New Roman" w:hAnsi="Times New Roman" w:eastAsia="宋体" w:cs="Times New Roman"/>
                      <w:szCs w:val="21"/>
                      <w:highlight w:val="none"/>
                      <w:lang w:val="zh-CN"/>
                    </w:rPr>
                  </w:pPr>
                </w:p>
              </w:tc>
              <w:tc>
                <w:tcPr>
                  <w:tcW w:w="1024" w:type="dxa"/>
                  <w:tcBorders>
                    <w:tl2br w:val="nil"/>
                    <w:tr2bl w:val="nil"/>
                  </w:tcBorders>
                  <w:noWrap w:val="0"/>
                  <w:vAlign w:val="center"/>
                </w:tcPr>
                <w:p w14:paraId="6E230FFC">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昼间</w:t>
                  </w:r>
                </w:p>
              </w:tc>
              <w:tc>
                <w:tcPr>
                  <w:tcW w:w="1026" w:type="dxa"/>
                  <w:tcBorders>
                    <w:tl2br w:val="nil"/>
                    <w:tr2bl w:val="nil"/>
                  </w:tcBorders>
                  <w:noWrap w:val="0"/>
                  <w:vAlign w:val="center"/>
                </w:tcPr>
                <w:p w14:paraId="4DB018EE">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夜间</w:t>
                  </w:r>
                </w:p>
              </w:tc>
              <w:tc>
                <w:tcPr>
                  <w:tcW w:w="1024" w:type="dxa"/>
                  <w:tcBorders>
                    <w:tl2br w:val="nil"/>
                    <w:tr2bl w:val="nil"/>
                  </w:tcBorders>
                  <w:noWrap w:val="0"/>
                  <w:vAlign w:val="center"/>
                </w:tcPr>
                <w:p w14:paraId="2F13D7AF">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昼间</w:t>
                  </w:r>
                </w:p>
              </w:tc>
              <w:tc>
                <w:tcPr>
                  <w:tcW w:w="1028" w:type="dxa"/>
                  <w:tcBorders>
                    <w:tl2br w:val="nil"/>
                    <w:tr2bl w:val="nil"/>
                  </w:tcBorders>
                  <w:noWrap w:val="0"/>
                  <w:vAlign w:val="center"/>
                </w:tcPr>
                <w:p w14:paraId="11A3D780">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夜间</w:t>
                  </w:r>
                </w:p>
              </w:tc>
              <w:tc>
                <w:tcPr>
                  <w:tcW w:w="1104" w:type="dxa"/>
                  <w:tcBorders>
                    <w:tl2br w:val="nil"/>
                    <w:tr2bl w:val="nil"/>
                  </w:tcBorders>
                  <w:noWrap w:val="0"/>
                  <w:vAlign w:val="center"/>
                </w:tcPr>
                <w:p w14:paraId="36B69268">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昼间</w:t>
                  </w:r>
                </w:p>
              </w:tc>
              <w:tc>
                <w:tcPr>
                  <w:tcW w:w="1233" w:type="dxa"/>
                  <w:tcBorders>
                    <w:tl2br w:val="nil"/>
                    <w:tr2bl w:val="nil"/>
                  </w:tcBorders>
                  <w:noWrap w:val="0"/>
                  <w:vAlign w:val="center"/>
                </w:tcPr>
                <w:p w14:paraId="47CC58B1">
                  <w:pPr>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夜间</w:t>
                  </w:r>
                </w:p>
              </w:tc>
            </w:tr>
            <w:tr w14:paraId="17452B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tcBorders>
                    <w:tl2br w:val="nil"/>
                    <w:tr2bl w:val="nil"/>
                  </w:tcBorders>
                  <w:noWrap w:val="0"/>
                  <w:vAlign w:val="center"/>
                </w:tcPr>
                <w:p w14:paraId="0E18E310">
                  <w:pPr>
                    <w:spacing w:line="240" w:lineRule="auto"/>
                    <w:jc w:val="center"/>
                    <w:rPr>
                      <w:rFonts w:hint="default" w:ascii="Times New Roman" w:hAnsi="Times New Roman" w:eastAsia="宋体" w:cs="Times New Roman"/>
                      <w:szCs w:val="21"/>
                      <w:highlight w:val="none"/>
                      <w:lang w:val="zh-CN" w:eastAsia="zh-CN"/>
                    </w:rPr>
                  </w:pPr>
                  <w:r>
                    <w:rPr>
                      <w:rFonts w:hint="default" w:ascii="Times New Roman" w:hAnsi="Times New Roman" w:cs="Times New Roman"/>
                      <w:highlight w:val="none"/>
                    </w:rPr>
                    <w:t>南侧边界外1m</w:t>
                  </w:r>
                </w:p>
              </w:tc>
              <w:tc>
                <w:tcPr>
                  <w:tcW w:w="1024" w:type="dxa"/>
                  <w:tcBorders>
                    <w:tl2br w:val="nil"/>
                    <w:tr2bl w:val="nil"/>
                  </w:tcBorders>
                  <w:noWrap w:val="0"/>
                  <w:vAlign w:val="center"/>
                </w:tcPr>
                <w:p w14:paraId="0B5D1B0E">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53 </w:t>
                  </w:r>
                </w:p>
              </w:tc>
              <w:tc>
                <w:tcPr>
                  <w:tcW w:w="1026" w:type="dxa"/>
                  <w:tcBorders>
                    <w:tl2br w:val="nil"/>
                    <w:tr2bl w:val="nil"/>
                  </w:tcBorders>
                  <w:noWrap w:val="0"/>
                  <w:vAlign w:val="center"/>
                </w:tcPr>
                <w:p w14:paraId="37C71CF4">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40 </w:t>
                  </w:r>
                </w:p>
              </w:tc>
              <w:tc>
                <w:tcPr>
                  <w:tcW w:w="1024" w:type="dxa"/>
                  <w:tcBorders>
                    <w:tl2br w:val="nil"/>
                    <w:tr2bl w:val="nil"/>
                  </w:tcBorders>
                  <w:noWrap w:val="0"/>
                  <w:vAlign w:val="center"/>
                </w:tcPr>
                <w:p w14:paraId="11E94D62">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54 </w:t>
                  </w:r>
                </w:p>
              </w:tc>
              <w:tc>
                <w:tcPr>
                  <w:tcW w:w="1028" w:type="dxa"/>
                  <w:tcBorders>
                    <w:tl2br w:val="nil"/>
                    <w:tr2bl w:val="nil"/>
                  </w:tcBorders>
                  <w:noWrap w:val="0"/>
                  <w:vAlign w:val="center"/>
                </w:tcPr>
                <w:p w14:paraId="42DE16B5">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43 </w:t>
                  </w:r>
                </w:p>
              </w:tc>
              <w:tc>
                <w:tcPr>
                  <w:tcW w:w="1104" w:type="dxa"/>
                  <w:tcBorders>
                    <w:tl2br w:val="nil"/>
                    <w:tr2bl w:val="nil"/>
                  </w:tcBorders>
                  <w:noWrap w:val="0"/>
                  <w:vAlign w:val="center"/>
                </w:tcPr>
                <w:p w14:paraId="6CAE8F75">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281B3448">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r w14:paraId="2113F1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tcBorders>
                    <w:tl2br w:val="nil"/>
                    <w:tr2bl w:val="nil"/>
                  </w:tcBorders>
                  <w:noWrap w:val="0"/>
                  <w:vAlign w:val="center"/>
                </w:tcPr>
                <w:p w14:paraId="1C6539AC">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highlight w:val="none"/>
                    </w:rPr>
                    <w:t>南侧敏感点</w:t>
                  </w:r>
                </w:p>
              </w:tc>
              <w:tc>
                <w:tcPr>
                  <w:tcW w:w="1024" w:type="dxa"/>
                  <w:tcBorders>
                    <w:tl2br w:val="nil"/>
                    <w:tr2bl w:val="nil"/>
                  </w:tcBorders>
                  <w:noWrap w:val="0"/>
                  <w:vAlign w:val="center"/>
                </w:tcPr>
                <w:p w14:paraId="7E20B330">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52 </w:t>
                  </w:r>
                </w:p>
              </w:tc>
              <w:tc>
                <w:tcPr>
                  <w:tcW w:w="1026" w:type="dxa"/>
                  <w:tcBorders>
                    <w:tl2br w:val="nil"/>
                    <w:tr2bl w:val="nil"/>
                  </w:tcBorders>
                  <w:noWrap w:val="0"/>
                  <w:vAlign w:val="center"/>
                </w:tcPr>
                <w:p w14:paraId="37538F90">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45 </w:t>
                  </w:r>
                </w:p>
              </w:tc>
              <w:tc>
                <w:tcPr>
                  <w:tcW w:w="1024" w:type="dxa"/>
                  <w:tcBorders>
                    <w:tl2br w:val="nil"/>
                    <w:tr2bl w:val="nil"/>
                  </w:tcBorders>
                  <w:noWrap w:val="0"/>
                  <w:vAlign w:val="center"/>
                </w:tcPr>
                <w:p w14:paraId="0EF1B1E9">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53 </w:t>
                  </w:r>
                </w:p>
              </w:tc>
              <w:tc>
                <w:tcPr>
                  <w:tcW w:w="1028" w:type="dxa"/>
                  <w:tcBorders>
                    <w:tl2br w:val="nil"/>
                    <w:tr2bl w:val="nil"/>
                  </w:tcBorders>
                  <w:noWrap w:val="0"/>
                  <w:vAlign w:val="center"/>
                </w:tcPr>
                <w:p w14:paraId="37D4AFD4">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44 </w:t>
                  </w:r>
                </w:p>
              </w:tc>
              <w:tc>
                <w:tcPr>
                  <w:tcW w:w="1104" w:type="dxa"/>
                  <w:tcBorders>
                    <w:tl2br w:val="nil"/>
                    <w:tr2bl w:val="nil"/>
                  </w:tcBorders>
                  <w:noWrap w:val="0"/>
                  <w:vAlign w:val="center"/>
                </w:tcPr>
                <w:p w14:paraId="58A95323">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4B3937CB">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r w14:paraId="0D005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tcBorders>
                    <w:tl2br w:val="nil"/>
                    <w:tr2bl w:val="nil"/>
                  </w:tcBorders>
                  <w:noWrap w:val="0"/>
                  <w:vAlign w:val="center"/>
                </w:tcPr>
                <w:p w14:paraId="1FCA617B">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highlight w:val="none"/>
                    </w:rPr>
                    <w:t>东侧边界外1m</w:t>
                  </w:r>
                </w:p>
              </w:tc>
              <w:tc>
                <w:tcPr>
                  <w:tcW w:w="1024" w:type="dxa"/>
                  <w:tcBorders>
                    <w:tl2br w:val="nil"/>
                    <w:tr2bl w:val="nil"/>
                  </w:tcBorders>
                  <w:noWrap w:val="0"/>
                  <w:vAlign w:val="center"/>
                </w:tcPr>
                <w:p w14:paraId="434DD352">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50 </w:t>
                  </w:r>
                </w:p>
              </w:tc>
              <w:tc>
                <w:tcPr>
                  <w:tcW w:w="1026" w:type="dxa"/>
                  <w:tcBorders>
                    <w:tl2br w:val="nil"/>
                    <w:tr2bl w:val="nil"/>
                  </w:tcBorders>
                  <w:noWrap w:val="0"/>
                  <w:vAlign w:val="center"/>
                </w:tcPr>
                <w:p w14:paraId="53D10557">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43 </w:t>
                  </w:r>
                </w:p>
              </w:tc>
              <w:tc>
                <w:tcPr>
                  <w:tcW w:w="1024" w:type="dxa"/>
                  <w:tcBorders>
                    <w:tl2br w:val="nil"/>
                    <w:tr2bl w:val="nil"/>
                  </w:tcBorders>
                  <w:noWrap w:val="0"/>
                  <w:vAlign w:val="center"/>
                </w:tcPr>
                <w:p w14:paraId="37ADA3C2">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54 </w:t>
                  </w:r>
                </w:p>
              </w:tc>
              <w:tc>
                <w:tcPr>
                  <w:tcW w:w="1028" w:type="dxa"/>
                  <w:tcBorders>
                    <w:tl2br w:val="nil"/>
                    <w:tr2bl w:val="nil"/>
                  </w:tcBorders>
                  <w:noWrap w:val="0"/>
                  <w:vAlign w:val="center"/>
                </w:tcPr>
                <w:p w14:paraId="1248A96B">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43 </w:t>
                  </w:r>
                </w:p>
              </w:tc>
              <w:tc>
                <w:tcPr>
                  <w:tcW w:w="1104" w:type="dxa"/>
                  <w:tcBorders>
                    <w:tl2br w:val="nil"/>
                    <w:tr2bl w:val="nil"/>
                  </w:tcBorders>
                  <w:noWrap w:val="0"/>
                  <w:vAlign w:val="center"/>
                </w:tcPr>
                <w:p w14:paraId="644DC656">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5A6393FB">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r w14:paraId="443B52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tcBorders>
                    <w:tl2br w:val="nil"/>
                    <w:tr2bl w:val="nil"/>
                  </w:tcBorders>
                  <w:noWrap w:val="0"/>
                  <w:vAlign w:val="center"/>
                </w:tcPr>
                <w:p w14:paraId="32BA2451">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highlight w:val="none"/>
                    </w:rPr>
                    <w:t>东侧敏感点</w:t>
                  </w:r>
                </w:p>
              </w:tc>
              <w:tc>
                <w:tcPr>
                  <w:tcW w:w="1024" w:type="dxa"/>
                  <w:tcBorders>
                    <w:tl2br w:val="nil"/>
                    <w:tr2bl w:val="nil"/>
                  </w:tcBorders>
                  <w:noWrap w:val="0"/>
                  <w:vAlign w:val="center"/>
                </w:tcPr>
                <w:p w14:paraId="019BA23D">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53 </w:t>
                  </w:r>
                </w:p>
              </w:tc>
              <w:tc>
                <w:tcPr>
                  <w:tcW w:w="1026" w:type="dxa"/>
                  <w:tcBorders>
                    <w:tl2br w:val="nil"/>
                    <w:tr2bl w:val="nil"/>
                  </w:tcBorders>
                  <w:noWrap w:val="0"/>
                  <w:vAlign w:val="center"/>
                </w:tcPr>
                <w:p w14:paraId="6C887F60">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41 </w:t>
                  </w:r>
                </w:p>
              </w:tc>
              <w:tc>
                <w:tcPr>
                  <w:tcW w:w="1024" w:type="dxa"/>
                  <w:tcBorders>
                    <w:tl2br w:val="nil"/>
                    <w:tr2bl w:val="nil"/>
                  </w:tcBorders>
                  <w:noWrap w:val="0"/>
                  <w:vAlign w:val="center"/>
                </w:tcPr>
                <w:p w14:paraId="6DF7C6C0">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54 </w:t>
                  </w:r>
                </w:p>
              </w:tc>
              <w:tc>
                <w:tcPr>
                  <w:tcW w:w="1028" w:type="dxa"/>
                  <w:tcBorders>
                    <w:tl2br w:val="nil"/>
                    <w:tr2bl w:val="nil"/>
                  </w:tcBorders>
                  <w:noWrap w:val="0"/>
                  <w:vAlign w:val="center"/>
                </w:tcPr>
                <w:p w14:paraId="54F9818F">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42 </w:t>
                  </w:r>
                </w:p>
              </w:tc>
              <w:tc>
                <w:tcPr>
                  <w:tcW w:w="1104" w:type="dxa"/>
                  <w:tcBorders>
                    <w:tl2br w:val="nil"/>
                    <w:tr2bl w:val="nil"/>
                  </w:tcBorders>
                  <w:noWrap w:val="0"/>
                  <w:vAlign w:val="center"/>
                </w:tcPr>
                <w:p w14:paraId="26B7F85A">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18F0AAF5">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r w14:paraId="051BD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tcBorders>
                    <w:tl2br w:val="nil"/>
                    <w:tr2bl w:val="nil"/>
                  </w:tcBorders>
                  <w:noWrap w:val="0"/>
                  <w:vAlign w:val="center"/>
                </w:tcPr>
                <w:p w14:paraId="431E2782">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highlight w:val="none"/>
                    </w:rPr>
                    <w:t>西侧边界外1m</w:t>
                  </w:r>
                </w:p>
              </w:tc>
              <w:tc>
                <w:tcPr>
                  <w:tcW w:w="1024" w:type="dxa"/>
                  <w:tcBorders>
                    <w:tl2br w:val="nil"/>
                    <w:tr2bl w:val="nil"/>
                  </w:tcBorders>
                  <w:noWrap w:val="0"/>
                  <w:vAlign w:val="center"/>
                </w:tcPr>
                <w:p w14:paraId="69F9821D">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52 </w:t>
                  </w:r>
                </w:p>
              </w:tc>
              <w:tc>
                <w:tcPr>
                  <w:tcW w:w="1026" w:type="dxa"/>
                  <w:tcBorders>
                    <w:tl2br w:val="nil"/>
                    <w:tr2bl w:val="nil"/>
                  </w:tcBorders>
                  <w:noWrap w:val="0"/>
                  <w:vAlign w:val="center"/>
                </w:tcPr>
                <w:p w14:paraId="55EE35F6">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46 </w:t>
                  </w:r>
                </w:p>
              </w:tc>
              <w:tc>
                <w:tcPr>
                  <w:tcW w:w="1024" w:type="dxa"/>
                  <w:tcBorders>
                    <w:tl2br w:val="nil"/>
                    <w:tr2bl w:val="nil"/>
                  </w:tcBorders>
                  <w:noWrap w:val="0"/>
                  <w:vAlign w:val="center"/>
                </w:tcPr>
                <w:p w14:paraId="40908F34">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55 </w:t>
                  </w:r>
                </w:p>
              </w:tc>
              <w:tc>
                <w:tcPr>
                  <w:tcW w:w="1028" w:type="dxa"/>
                  <w:tcBorders>
                    <w:tl2br w:val="nil"/>
                    <w:tr2bl w:val="nil"/>
                  </w:tcBorders>
                  <w:noWrap w:val="0"/>
                  <w:vAlign w:val="center"/>
                </w:tcPr>
                <w:p w14:paraId="6CFB2458">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43 </w:t>
                  </w:r>
                </w:p>
              </w:tc>
              <w:tc>
                <w:tcPr>
                  <w:tcW w:w="1104" w:type="dxa"/>
                  <w:tcBorders>
                    <w:tl2br w:val="nil"/>
                    <w:tr2bl w:val="nil"/>
                  </w:tcBorders>
                  <w:noWrap w:val="0"/>
                  <w:vAlign w:val="center"/>
                </w:tcPr>
                <w:p w14:paraId="198DBA93">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352F91FC">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r w14:paraId="4D0E28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899" w:type="dxa"/>
                  <w:tcBorders>
                    <w:tl2br w:val="nil"/>
                    <w:tr2bl w:val="nil"/>
                  </w:tcBorders>
                  <w:noWrap w:val="0"/>
                  <w:vAlign w:val="center"/>
                </w:tcPr>
                <w:p w14:paraId="4B1EC80E">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highlight w:val="none"/>
                    </w:rPr>
                    <w:t>西侧</w:t>
                  </w:r>
                  <w:r>
                    <w:rPr>
                      <w:rFonts w:hint="default" w:ascii="Times New Roman" w:hAnsi="Times New Roman" w:cs="Times New Roman"/>
                      <w:highlight w:val="none"/>
                      <w:lang w:eastAsia="zh-CN"/>
                    </w:rPr>
                    <w:t>敏感点</w:t>
                  </w:r>
                </w:p>
              </w:tc>
              <w:tc>
                <w:tcPr>
                  <w:tcW w:w="1024" w:type="dxa"/>
                  <w:tcBorders>
                    <w:tl2br w:val="nil"/>
                    <w:tr2bl w:val="nil"/>
                  </w:tcBorders>
                  <w:noWrap w:val="0"/>
                  <w:vAlign w:val="center"/>
                </w:tcPr>
                <w:p w14:paraId="17B9A905">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52 </w:t>
                  </w:r>
                </w:p>
              </w:tc>
              <w:tc>
                <w:tcPr>
                  <w:tcW w:w="1026" w:type="dxa"/>
                  <w:tcBorders>
                    <w:tl2br w:val="nil"/>
                    <w:tr2bl w:val="nil"/>
                  </w:tcBorders>
                  <w:noWrap w:val="0"/>
                  <w:vAlign w:val="center"/>
                </w:tcPr>
                <w:p w14:paraId="56665889">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43 </w:t>
                  </w:r>
                </w:p>
              </w:tc>
              <w:tc>
                <w:tcPr>
                  <w:tcW w:w="1024" w:type="dxa"/>
                  <w:tcBorders>
                    <w:tl2br w:val="nil"/>
                    <w:tr2bl w:val="nil"/>
                  </w:tcBorders>
                  <w:noWrap w:val="0"/>
                  <w:vAlign w:val="center"/>
                </w:tcPr>
                <w:p w14:paraId="74789A03">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54 </w:t>
                  </w:r>
                </w:p>
              </w:tc>
              <w:tc>
                <w:tcPr>
                  <w:tcW w:w="1028" w:type="dxa"/>
                  <w:tcBorders>
                    <w:tl2br w:val="nil"/>
                    <w:tr2bl w:val="nil"/>
                  </w:tcBorders>
                  <w:noWrap w:val="0"/>
                  <w:vAlign w:val="center"/>
                </w:tcPr>
                <w:p w14:paraId="122D8BD1">
                  <w:pPr>
                    <w:keepNext w:val="0"/>
                    <w:keepLines w:val="0"/>
                    <w:widowControl/>
                    <w:suppressLineNumbers w:val="0"/>
                    <w:jc w:val="center"/>
                    <w:textAlignment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45 </w:t>
                  </w:r>
                </w:p>
              </w:tc>
              <w:tc>
                <w:tcPr>
                  <w:tcW w:w="1104" w:type="dxa"/>
                  <w:tcBorders>
                    <w:tl2br w:val="nil"/>
                    <w:tr2bl w:val="nil"/>
                  </w:tcBorders>
                  <w:noWrap w:val="0"/>
                  <w:vAlign w:val="center"/>
                </w:tcPr>
                <w:p w14:paraId="5D0D719C">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547C38A4">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r w14:paraId="547E32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99" w:type="dxa"/>
                  <w:tcBorders>
                    <w:tl2br w:val="nil"/>
                    <w:tr2bl w:val="nil"/>
                  </w:tcBorders>
                  <w:noWrap w:val="0"/>
                  <w:vAlign w:val="center"/>
                </w:tcPr>
                <w:p w14:paraId="5196B946">
                  <w:pPr>
                    <w:spacing w:line="240" w:lineRule="auto"/>
                    <w:jc w:val="center"/>
                    <w:rPr>
                      <w:rFonts w:hint="default" w:ascii="Times New Roman" w:hAnsi="Times New Roman" w:cs="Times New Roman"/>
                      <w:highlight w:val="none"/>
                    </w:rPr>
                  </w:pPr>
                  <w:r>
                    <w:rPr>
                      <w:rFonts w:hint="default" w:ascii="Times New Roman" w:hAnsi="Times New Roman" w:cs="Times New Roman"/>
                      <w:highlight w:val="none"/>
                    </w:rPr>
                    <w:t>北侧边界外1m</w:t>
                  </w:r>
                </w:p>
              </w:tc>
              <w:tc>
                <w:tcPr>
                  <w:tcW w:w="1024" w:type="dxa"/>
                  <w:tcBorders>
                    <w:tl2br w:val="nil"/>
                    <w:tr2bl w:val="nil"/>
                  </w:tcBorders>
                  <w:noWrap w:val="0"/>
                  <w:vAlign w:val="center"/>
                </w:tcPr>
                <w:p w14:paraId="051EB1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55 </w:t>
                  </w:r>
                </w:p>
              </w:tc>
              <w:tc>
                <w:tcPr>
                  <w:tcW w:w="1026" w:type="dxa"/>
                  <w:tcBorders>
                    <w:tl2br w:val="nil"/>
                    <w:tr2bl w:val="nil"/>
                  </w:tcBorders>
                  <w:noWrap w:val="0"/>
                  <w:vAlign w:val="center"/>
                </w:tcPr>
                <w:p w14:paraId="2643A00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44 </w:t>
                  </w:r>
                </w:p>
              </w:tc>
              <w:tc>
                <w:tcPr>
                  <w:tcW w:w="1024" w:type="dxa"/>
                  <w:tcBorders>
                    <w:tl2br w:val="nil"/>
                    <w:tr2bl w:val="nil"/>
                  </w:tcBorders>
                  <w:noWrap w:val="0"/>
                  <w:vAlign w:val="center"/>
                </w:tcPr>
                <w:p w14:paraId="2FCF88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53 </w:t>
                  </w:r>
                </w:p>
              </w:tc>
              <w:tc>
                <w:tcPr>
                  <w:tcW w:w="1028" w:type="dxa"/>
                  <w:tcBorders>
                    <w:tl2br w:val="nil"/>
                    <w:tr2bl w:val="nil"/>
                  </w:tcBorders>
                  <w:noWrap w:val="0"/>
                  <w:vAlign w:val="center"/>
                </w:tcPr>
                <w:p w14:paraId="73440A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 xml:space="preserve">40 </w:t>
                  </w:r>
                </w:p>
              </w:tc>
              <w:tc>
                <w:tcPr>
                  <w:tcW w:w="1104" w:type="dxa"/>
                  <w:tcBorders>
                    <w:tl2br w:val="nil"/>
                    <w:tr2bl w:val="nil"/>
                  </w:tcBorders>
                  <w:noWrap w:val="0"/>
                  <w:vAlign w:val="center"/>
                </w:tcPr>
                <w:p w14:paraId="7CEB1C03">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60</w:t>
                  </w:r>
                </w:p>
              </w:tc>
              <w:tc>
                <w:tcPr>
                  <w:tcW w:w="1233" w:type="dxa"/>
                  <w:tcBorders>
                    <w:tl2br w:val="nil"/>
                    <w:tr2bl w:val="nil"/>
                  </w:tcBorders>
                  <w:noWrap w:val="0"/>
                  <w:vAlign w:val="center"/>
                </w:tcPr>
                <w:p w14:paraId="7D3A157C">
                  <w:pPr>
                    <w:spacing w:line="240" w:lineRule="auto"/>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50</w:t>
                  </w:r>
                </w:p>
              </w:tc>
            </w:tr>
          </w:tbl>
          <w:p w14:paraId="169701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bCs/>
                <w:color w:val="auto"/>
                <w:szCs w:val="21"/>
                <w:highlight w:val="none"/>
              </w:rPr>
              <w:t>由上表可以看出，</w:t>
            </w:r>
            <w:r>
              <w:rPr>
                <w:rFonts w:hint="default" w:ascii="Times New Roman" w:hAnsi="Times New Roman" w:cs="Times New Roman"/>
                <w:sz w:val="21"/>
                <w:szCs w:val="21"/>
                <w:highlight w:val="none"/>
              </w:rPr>
              <w:t>厂界</w:t>
            </w:r>
            <w:r>
              <w:rPr>
                <w:rFonts w:hint="default" w:ascii="Times New Roman" w:hAnsi="Times New Roman" w:cs="Times New Roman"/>
                <w:sz w:val="21"/>
                <w:szCs w:val="21"/>
                <w:highlight w:val="none"/>
                <w:lang w:eastAsia="zh-CN"/>
              </w:rPr>
              <w:t>满足</w:t>
            </w:r>
            <w:r>
              <w:rPr>
                <w:rFonts w:hint="default" w:ascii="Times New Roman" w:hAnsi="Times New Roman" w:cs="Times New Roman"/>
                <w:sz w:val="21"/>
                <w:szCs w:val="21"/>
                <w:highlight w:val="none"/>
              </w:rPr>
              <w:t>《工业企业厂界环境噪声排放标准》（GB12348-2008）表1中2类标准</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敏感点满足</w:t>
            </w:r>
            <w:r>
              <w:rPr>
                <w:rFonts w:hint="default" w:ascii="Times New Roman" w:hAnsi="Times New Roman" w:cs="Times New Roman"/>
                <w:bCs/>
                <w:color w:val="auto"/>
                <w:sz w:val="21"/>
                <w:szCs w:val="21"/>
                <w:highlight w:val="none"/>
              </w:rPr>
              <w:t>《声环境质量标准》（GB3096-2008）中的</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lang w:eastAsia="zh-CN"/>
              </w:rPr>
              <w:t>类</w:t>
            </w:r>
            <w:r>
              <w:rPr>
                <w:rFonts w:hint="default" w:ascii="Times New Roman" w:hAnsi="Times New Roman" w:cs="Times New Roman"/>
                <w:bCs/>
                <w:color w:val="auto"/>
                <w:sz w:val="21"/>
                <w:szCs w:val="21"/>
                <w:highlight w:val="none"/>
              </w:rPr>
              <w:t>标准</w:t>
            </w:r>
            <w:r>
              <w:rPr>
                <w:rFonts w:hint="default" w:ascii="Times New Roman" w:hAnsi="Times New Roman" w:cs="Times New Roman"/>
                <w:bCs/>
                <w:color w:val="auto"/>
                <w:szCs w:val="21"/>
                <w:highlight w:val="none"/>
              </w:rPr>
              <w:t>，项目所在区域声环境质量良好。</w:t>
            </w:r>
          </w:p>
        </w:tc>
      </w:tr>
      <w:tr w14:paraId="33CD9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0" w:hRule="atLeast"/>
          <w:jc w:val="center"/>
        </w:trPr>
        <w:tc>
          <w:tcPr>
            <w:tcW w:w="800" w:type="dxa"/>
            <w:noWrap w:val="0"/>
            <w:vAlign w:val="center"/>
          </w:tcPr>
          <w:p w14:paraId="1C5363D4">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2F48E87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14:paraId="42764008">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8190" w:type="dxa"/>
            <w:noWrap w:val="0"/>
            <w:vAlign w:val="center"/>
          </w:tcPr>
          <w:p w14:paraId="3131BC1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本项目厂界500m范围</w:t>
            </w:r>
            <w:r>
              <w:rPr>
                <w:rFonts w:hint="default" w:ascii="Times New Roman" w:hAnsi="Times New Roman" w:cs="Times New Roman"/>
                <w:color w:val="auto"/>
                <w:kern w:val="0"/>
                <w:szCs w:val="21"/>
                <w:highlight w:val="none"/>
                <w:lang w:val="en-US" w:eastAsia="zh-CN"/>
              </w:rPr>
              <w:t>无地下水集中式使用水水源和热水、矿泉水、温泉等特殊地下水资源，且周围无集中式居民饮用水井</w:t>
            </w:r>
            <w:r>
              <w:rPr>
                <w:rFonts w:hint="default" w:ascii="Times New Roman" w:hAnsi="Times New Roman" w:cs="Times New Roman"/>
                <w:color w:val="auto"/>
                <w:kern w:val="0"/>
                <w:szCs w:val="21"/>
                <w:highlight w:val="none"/>
              </w:rPr>
              <w:t>，故无地下水保护目标；本项目不涉及生态环境保护目标；厂界外500米范围内大气</w:t>
            </w:r>
            <w:r>
              <w:rPr>
                <w:rFonts w:hint="default" w:ascii="Times New Roman" w:hAnsi="Times New Roman" w:cs="Times New Roman"/>
                <w:color w:val="auto"/>
                <w:kern w:val="0"/>
                <w:szCs w:val="21"/>
                <w:highlight w:val="none"/>
                <w:lang w:eastAsia="zh-CN"/>
              </w:rPr>
              <w:t>环境</w:t>
            </w:r>
            <w:r>
              <w:rPr>
                <w:rFonts w:hint="default" w:ascii="Times New Roman" w:hAnsi="Times New Roman" w:cs="Times New Roman"/>
                <w:color w:val="auto"/>
                <w:kern w:val="0"/>
                <w:szCs w:val="21"/>
                <w:highlight w:val="none"/>
              </w:rPr>
              <w:t>保护目标</w:t>
            </w:r>
            <w:r>
              <w:rPr>
                <w:rFonts w:hint="default" w:ascii="Times New Roman" w:hAnsi="Times New Roman" w:cs="Times New Roman"/>
                <w:color w:val="auto"/>
                <w:kern w:val="0"/>
                <w:szCs w:val="21"/>
                <w:highlight w:val="none"/>
                <w:lang w:eastAsia="zh-CN"/>
              </w:rPr>
              <w:t>及</w:t>
            </w:r>
            <w:r>
              <w:rPr>
                <w:rFonts w:hint="default" w:ascii="Times New Roman" w:hAnsi="Times New Roman" w:cs="Times New Roman"/>
                <w:color w:val="auto"/>
                <w:kern w:val="0"/>
                <w:szCs w:val="21"/>
                <w:highlight w:val="none"/>
              </w:rPr>
              <w:t>厂界外50米范围内声环境保护目标</w:t>
            </w:r>
            <w:r>
              <w:rPr>
                <w:rFonts w:hint="default" w:ascii="Times New Roman" w:hAnsi="Times New Roman" w:cs="Times New Roman"/>
                <w:color w:val="auto"/>
                <w:kern w:val="0"/>
                <w:szCs w:val="21"/>
                <w:highlight w:val="none"/>
                <w:lang w:eastAsia="zh-CN"/>
              </w:rPr>
              <w:t>见下表</w:t>
            </w:r>
            <w:r>
              <w:rPr>
                <w:rFonts w:hint="default" w:ascii="Times New Roman" w:hAnsi="Times New Roman" w:cs="Times New Roman"/>
                <w:color w:val="auto"/>
                <w:kern w:val="0"/>
                <w:szCs w:val="21"/>
                <w:highlight w:val="none"/>
              </w:rPr>
              <w:t>。</w:t>
            </w:r>
          </w:p>
          <w:p w14:paraId="1A9FB8A2">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表3-</w:t>
            </w:r>
            <w:r>
              <w:rPr>
                <w:rFonts w:hint="default" w:ascii="Times New Roman" w:hAnsi="Times New Roman" w:cs="Times New Roman"/>
                <w:b/>
                <w:bCs/>
                <w:color w:val="auto"/>
                <w:kern w:val="0"/>
                <w:szCs w:val="21"/>
                <w:highlight w:val="none"/>
                <w:lang w:val="en-US" w:eastAsia="zh-CN"/>
              </w:rPr>
              <w:t>3</w:t>
            </w:r>
            <w:r>
              <w:rPr>
                <w:rFonts w:hint="default" w:ascii="Times New Roman" w:hAnsi="Times New Roman" w:cs="Times New Roman"/>
                <w:b/>
                <w:bCs/>
                <w:color w:val="auto"/>
                <w:kern w:val="0"/>
                <w:szCs w:val="21"/>
                <w:highlight w:val="none"/>
              </w:rPr>
              <w:t xml:space="preserve">  </w:t>
            </w:r>
            <w:r>
              <w:rPr>
                <w:rFonts w:hint="default" w:ascii="Times New Roman" w:hAnsi="Times New Roman" w:cs="Times New Roman"/>
                <w:b/>
                <w:bCs/>
                <w:color w:val="auto"/>
                <w:kern w:val="0"/>
                <w:szCs w:val="21"/>
                <w:highlight w:val="none"/>
                <w:lang w:eastAsia="zh-CN"/>
              </w:rPr>
              <w:t>大气</w:t>
            </w:r>
            <w:r>
              <w:rPr>
                <w:rFonts w:hint="default" w:ascii="Times New Roman" w:hAnsi="Times New Roman" w:cs="Times New Roman"/>
                <w:b/>
                <w:bCs/>
                <w:color w:val="auto"/>
                <w:kern w:val="0"/>
                <w:szCs w:val="21"/>
                <w:highlight w:val="none"/>
              </w:rPr>
              <w:t>环境保护目标</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900"/>
              <w:gridCol w:w="1040"/>
              <w:gridCol w:w="1128"/>
              <w:gridCol w:w="1047"/>
              <w:gridCol w:w="641"/>
              <w:gridCol w:w="849"/>
              <w:gridCol w:w="1085"/>
              <w:gridCol w:w="984"/>
            </w:tblGrid>
            <w:tr w14:paraId="263FB9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1" w:type="dxa"/>
                  <w:vMerge w:val="restart"/>
                  <w:noWrap w:val="0"/>
                  <w:vAlign w:val="center"/>
                </w:tcPr>
                <w:p w14:paraId="6A8E5372">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环境要素</w:t>
                  </w:r>
                </w:p>
              </w:tc>
              <w:tc>
                <w:tcPr>
                  <w:tcW w:w="900" w:type="dxa"/>
                  <w:vMerge w:val="restart"/>
                  <w:noWrap w:val="0"/>
                  <w:vAlign w:val="center"/>
                </w:tcPr>
                <w:p w14:paraId="49183EF5">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环境保护对象</w:t>
                  </w:r>
                </w:p>
              </w:tc>
              <w:tc>
                <w:tcPr>
                  <w:tcW w:w="2168" w:type="dxa"/>
                  <w:gridSpan w:val="2"/>
                  <w:noWrap w:val="0"/>
                  <w:vAlign w:val="center"/>
                </w:tcPr>
                <w:p w14:paraId="1202C1FC">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坐标</w:t>
                  </w:r>
                </w:p>
              </w:tc>
              <w:tc>
                <w:tcPr>
                  <w:tcW w:w="1047" w:type="dxa"/>
                  <w:vMerge w:val="restart"/>
                  <w:noWrap w:val="0"/>
                  <w:vAlign w:val="center"/>
                </w:tcPr>
                <w:p w14:paraId="579A391F">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保护对象</w:t>
                  </w:r>
                </w:p>
              </w:tc>
              <w:tc>
                <w:tcPr>
                  <w:tcW w:w="641" w:type="dxa"/>
                  <w:vMerge w:val="restart"/>
                  <w:noWrap w:val="0"/>
                  <w:vAlign w:val="center"/>
                </w:tcPr>
                <w:p w14:paraId="6BE53B82">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保护内容</w:t>
                  </w:r>
                </w:p>
              </w:tc>
              <w:tc>
                <w:tcPr>
                  <w:tcW w:w="849" w:type="dxa"/>
                  <w:vMerge w:val="restart"/>
                  <w:noWrap w:val="0"/>
                  <w:vAlign w:val="center"/>
                </w:tcPr>
                <w:p w14:paraId="2C4874FE">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环境功能区</w:t>
                  </w:r>
                </w:p>
              </w:tc>
              <w:tc>
                <w:tcPr>
                  <w:tcW w:w="1085" w:type="dxa"/>
                  <w:vMerge w:val="restart"/>
                  <w:noWrap w:val="0"/>
                  <w:vAlign w:val="center"/>
                </w:tcPr>
                <w:p w14:paraId="639CCD94">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相对厂址方位</w:t>
                  </w:r>
                </w:p>
              </w:tc>
              <w:tc>
                <w:tcPr>
                  <w:tcW w:w="984" w:type="dxa"/>
                  <w:vMerge w:val="restart"/>
                  <w:noWrap w:val="0"/>
                  <w:vAlign w:val="center"/>
                </w:tcPr>
                <w:p w14:paraId="3ADCDA3C">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相对厂界距离/m</w:t>
                  </w:r>
                </w:p>
              </w:tc>
            </w:tr>
            <w:tr w14:paraId="0BD6DF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1" w:type="dxa"/>
                  <w:vMerge w:val="continue"/>
                  <w:noWrap w:val="0"/>
                  <w:vAlign w:val="center"/>
                </w:tcPr>
                <w:p w14:paraId="1F4CF6E4">
                  <w:pPr>
                    <w:adjustRightInd w:val="0"/>
                    <w:snapToGrid w:val="0"/>
                    <w:jc w:val="center"/>
                    <w:rPr>
                      <w:rFonts w:hint="default" w:ascii="Times New Roman" w:hAnsi="Times New Roman" w:cs="Times New Roman"/>
                      <w:color w:val="auto"/>
                      <w:kern w:val="0"/>
                      <w:sz w:val="18"/>
                      <w:szCs w:val="18"/>
                      <w:highlight w:val="none"/>
                    </w:rPr>
                  </w:pPr>
                </w:p>
              </w:tc>
              <w:tc>
                <w:tcPr>
                  <w:tcW w:w="900" w:type="dxa"/>
                  <w:vMerge w:val="continue"/>
                  <w:noWrap w:val="0"/>
                  <w:vAlign w:val="center"/>
                </w:tcPr>
                <w:p w14:paraId="4AE17E75">
                  <w:pPr>
                    <w:adjustRightInd w:val="0"/>
                    <w:snapToGrid w:val="0"/>
                    <w:jc w:val="center"/>
                    <w:rPr>
                      <w:rFonts w:hint="default" w:ascii="Times New Roman" w:hAnsi="Times New Roman" w:cs="Times New Roman"/>
                      <w:color w:val="auto"/>
                      <w:kern w:val="0"/>
                      <w:sz w:val="18"/>
                      <w:szCs w:val="18"/>
                      <w:highlight w:val="none"/>
                    </w:rPr>
                  </w:pPr>
                </w:p>
              </w:tc>
              <w:tc>
                <w:tcPr>
                  <w:tcW w:w="1040" w:type="dxa"/>
                  <w:noWrap w:val="0"/>
                  <w:vAlign w:val="center"/>
                </w:tcPr>
                <w:p w14:paraId="50FAA03F">
                  <w:pPr>
                    <w:pStyle w:val="27"/>
                    <w:rPr>
                      <w:rFonts w:hint="default" w:ascii="Times New Roman" w:hAnsi="Times New Roman" w:eastAsia="宋体" w:cs="Times New Roman"/>
                      <w:bCs w:val="0"/>
                      <w:color w:val="auto"/>
                      <w:sz w:val="18"/>
                      <w:szCs w:val="18"/>
                      <w:highlight w:val="none"/>
                      <w:lang w:val="en-US" w:eastAsia="zh-CN"/>
                    </w:rPr>
                  </w:pPr>
                  <w:r>
                    <w:rPr>
                      <w:rFonts w:hint="default" w:ascii="Times New Roman" w:hAnsi="Times New Roman" w:cs="Times New Roman"/>
                      <w:bCs w:val="0"/>
                      <w:color w:val="auto"/>
                      <w:sz w:val="18"/>
                      <w:szCs w:val="18"/>
                      <w:highlight w:val="none"/>
                      <w:lang w:val="en-US" w:eastAsia="zh-CN"/>
                    </w:rPr>
                    <w:t>X</w:t>
                  </w:r>
                </w:p>
              </w:tc>
              <w:tc>
                <w:tcPr>
                  <w:tcW w:w="1128" w:type="dxa"/>
                  <w:noWrap w:val="0"/>
                  <w:vAlign w:val="center"/>
                </w:tcPr>
                <w:p w14:paraId="3C17ADF2">
                  <w:pPr>
                    <w:pStyle w:val="27"/>
                    <w:rPr>
                      <w:rFonts w:hint="default" w:ascii="Times New Roman" w:hAnsi="Times New Roman" w:eastAsia="宋体" w:cs="Times New Roman"/>
                      <w:bCs w:val="0"/>
                      <w:color w:val="auto"/>
                      <w:sz w:val="18"/>
                      <w:szCs w:val="18"/>
                      <w:highlight w:val="none"/>
                      <w:lang w:val="en-US" w:eastAsia="zh-CN"/>
                    </w:rPr>
                  </w:pPr>
                  <w:r>
                    <w:rPr>
                      <w:rFonts w:hint="default" w:ascii="Times New Roman" w:hAnsi="Times New Roman" w:cs="Times New Roman"/>
                      <w:bCs w:val="0"/>
                      <w:color w:val="auto"/>
                      <w:sz w:val="18"/>
                      <w:szCs w:val="18"/>
                      <w:highlight w:val="none"/>
                      <w:lang w:val="en-US" w:eastAsia="zh-CN"/>
                    </w:rPr>
                    <w:t>Y</w:t>
                  </w:r>
                </w:p>
              </w:tc>
              <w:tc>
                <w:tcPr>
                  <w:tcW w:w="1047" w:type="dxa"/>
                  <w:vMerge w:val="continue"/>
                  <w:noWrap w:val="0"/>
                  <w:vAlign w:val="center"/>
                </w:tcPr>
                <w:p w14:paraId="0AE45A82">
                  <w:pPr>
                    <w:adjustRightInd w:val="0"/>
                    <w:snapToGrid w:val="0"/>
                    <w:jc w:val="center"/>
                    <w:rPr>
                      <w:rFonts w:hint="default" w:ascii="Times New Roman" w:hAnsi="Times New Roman" w:cs="Times New Roman"/>
                      <w:color w:val="auto"/>
                      <w:kern w:val="0"/>
                      <w:sz w:val="18"/>
                      <w:szCs w:val="18"/>
                      <w:highlight w:val="none"/>
                    </w:rPr>
                  </w:pPr>
                </w:p>
              </w:tc>
              <w:tc>
                <w:tcPr>
                  <w:tcW w:w="641" w:type="dxa"/>
                  <w:vMerge w:val="continue"/>
                  <w:noWrap w:val="0"/>
                  <w:vAlign w:val="center"/>
                </w:tcPr>
                <w:p w14:paraId="07CAD6C4">
                  <w:pPr>
                    <w:adjustRightInd w:val="0"/>
                    <w:snapToGrid w:val="0"/>
                    <w:jc w:val="center"/>
                    <w:rPr>
                      <w:rFonts w:hint="default" w:ascii="Times New Roman" w:hAnsi="Times New Roman" w:cs="Times New Roman"/>
                      <w:color w:val="auto"/>
                      <w:kern w:val="0"/>
                      <w:sz w:val="18"/>
                      <w:szCs w:val="18"/>
                      <w:highlight w:val="none"/>
                    </w:rPr>
                  </w:pPr>
                </w:p>
              </w:tc>
              <w:tc>
                <w:tcPr>
                  <w:tcW w:w="849" w:type="dxa"/>
                  <w:vMerge w:val="continue"/>
                  <w:noWrap w:val="0"/>
                  <w:vAlign w:val="center"/>
                </w:tcPr>
                <w:p w14:paraId="6C78ECEA">
                  <w:pPr>
                    <w:adjustRightInd w:val="0"/>
                    <w:snapToGrid w:val="0"/>
                    <w:jc w:val="center"/>
                    <w:rPr>
                      <w:rFonts w:hint="default" w:ascii="Times New Roman" w:hAnsi="Times New Roman" w:cs="Times New Roman"/>
                      <w:color w:val="auto"/>
                      <w:kern w:val="0"/>
                      <w:sz w:val="18"/>
                      <w:szCs w:val="18"/>
                      <w:highlight w:val="none"/>
                    </w:rPr>
                  </w:pPr>
                </w:p>
              </w:tc>
              <w:tc>
                <w:tcPr>
                  <w:tcW w:w="1085" w:type="dxa"/>
                  <w:vMerge w:val="continue"/>
                  <w:noWrap w:val="0"/>
                  <w:vAlign w:val="center"/>
                </w:tcPr>
                <w:p w14:paraId="22230915">
                  <w:pPr>
                    <w:adjustRightInd w:val="0"/>
                    <w:snapToGrid w:val="0"/>
                    <w:jc w:val="center"/>
                    <w:rPr>
                      <w:rFonts w:hint="default" w:ascii="Times New Roman" w:hAnsi="Times New Roman" w:cs="Times New Roman"/>
                      <w:color w:val="auto"/>
                      <w:kern w:val="0"/>
                      <w:sz w:val="18"/>
                      <w:szCs w:val="18"/>
                      <w:highlight w:val="none"/>
                    </w:rPr>
                  </w:pPr>
                </w:p>
              </w:tc>
              <w:tc>
                <w:tcPr>
                  <w:tcW w:w="984" w:type="dxa"/>
                  <w:vMerge w:val="continue"/>
                  <w:noWrap w:val="0"/>
                  <w:vAlign w:val="center"/>
                </w:tcPr>
                <w:p w14:paraId="3988B707">
                  <w:pPr>
                    <w:adjustRightInd w:val="0"/>
                    <w:snapToGrid w:val="0"/>
                    <w:jc w:val="center"/>
                    <w:rPr>
                      <w:rFonts w:hint="default" w:ascii="Times New Roman" w:hAnsi="Times New Roman" w:cs="Times New Roman"/>
                      <w:color w:val="auto"/>
                      <w:kern w:val="0"/>
                      <w:sz w:val="18"/>
                      <w:szCs w:val="18"/>
                      <w:highlight w:val="none"/>
                    </w:rPr>
                  </w:pPr>
                </w:p>
              </w:tc>
            </w:tr>
            <w:tr w14:paraId="71B3A9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1" w:type="dxa"/>
                  <w:vMerge w:val="restart"/>
                  <w:noWrap w:val="0"/>
                  <w:vAlign w:val="center"/>
                </w:tcPr>
                <w:p w14:paraId="7EFF4073">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大气环境</w:t>
                  </w:r>
                </w:p>
              </w:tc>
              <w:tc>
                <w:tcPr>
                  <w:tcW w:w="900" w:type="dxa"/>
                  <w:vMerge w:val="restart"/>
                  <w:noWrap w:val="0"/>
                  <w:vAlign w:val="center"/>
                </w:tcPr>
                <w:p w14:paraId="3DAE926F">
                  <w:pPr>
                    <w:widowControl/>
                    <w:adjustRightInd w:val="0"/>
                    <w:snapToGrid w:val="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lang w:eastAsia="zh-CN"/>
                    </w:rPr>
                    <w:t>三马架屯</w:t>
                  </w:r>
                </w:p>
              </w:tc>
              <w:tc>
                <w:tcPr>
                  <w:tcW w:w="1040" w:type="dxa"/>
                  <w:noWrap w:val="0"/>
                  <w:vAlign w:val="center"/>
                </w:tcPr>
                <w:p w14:paraId="4912CFF3">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w:t>
                  </w:r>
                </w:p>
              </w:tc>
              <w:tc>
                <w:tcPr>
                  <w:tcW w:w="1128" w:type="dxa"/>
                  <w:noWrap w:val="0"/>
                  <w:vAlign w:val="center"/>
                </w:tcPr>
                <w:p w14:paraId="47DD9B2C">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w:t>
                  </w:r>
                </w:p>
              </w:tc>
              <w:tc>
                <w:tcPr>
                  <w:tcW w:w="1047" w:type="dxa"/>
                  <w:vMerge w:val="restart"/>
                  <w:noWrap w:val="0"/>
                  <w:vAlign w:val="center"/>
                </w:tcPr>
                <w:p w14:paraId="5404D05A">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农村人群集中区</w:t>
                  </w:r>
                </w:p>
              </w:tc>
              <w:tc>
                <w:tcPr>
                  <w:tcW w:w="641" w:type="dxa"/>
                  <w:vMerge w:val="restart"/>
                  <w:noWrap w:val="0"/>
                  <w:vAlign w:val="center"/>
                </w:tcPr>
                <w:p w14:paraId="2B7A7839">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人群</w:t>
                  </w:r>
                </w:p>
              </w:tc>
              <w:tc>
                <w:tcPr>
                  <w:tcW w:w="849" w:type="dxa"/>
                  <w:vMerge w:val="restart"/>
                  <w:noWrap w:val="0"/>
                  <w:vAlign w:val="center"/>
                </w:tcPr>
                <w:p w14:paraId="5C4E50A9">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二类区</w:t>
                  </w:r>
                </w:p>
              </w:tc>
              <w:tc>
                <w:tcPr>
                  <w:tcW w:w="1085" w:type="dxa"/>
                  <w:noWrap w:val="0"/>
                  <w:vAlign w:val="center"/>
                </w:tcPr>
                <w:p w14:paraId="4C43A284">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E</w:t>
                  </w:r>
                </w:p>
              </w:tc>
              <w:tc>
                <w:tcPr>
                  <w:tcW w:w="984" w:type="dxa"/>
                  <w:noWrap w:val="0"/>
                  <w:vAlign w:val="center"/>
                </w:tcPr>
                <w:p w14:paraId="5C7329CA">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bidi="ar-SA"/>
                    </w:rPr>
                    <w:t>5</w:t>
                  </w:r>
                </w:p>
              </w:tc>
            </w:tr>
            <w:tr w14:paraId="31BD34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1" w:type="dxa"/>
                  <w:vMerge w:val="continue"/>
                  <w:noWrap w:val="0"/>
                  <w:vAlign w:val="center"/>
                </w:tcPr>
                <w:p w14:paraId="6E6B5832">
                  <w:pPr>
                    <w:adjustRightInd w:val="0"/>
                    <w:snapToGrid w:val="0"/>
                    <w:jc w:val="center"/>
                    <w:rPr>
                      <w:rFonts w:hint="default" w:ascii="Times New Roman" w:hAnsi="Times New Roman" w:cs="Times New Roman"/>
                      <w:color w:val="auto"/>
                      <w:kern w:val="0"/>
                      <w:sz w:val="18"/>
                      <w:szCs w:val="18"/>
                      <w:highlight w:val="none"/>
                    </w:rPr>
                  </w:pPr>
                </w:p>
              </w:tc>
              <w:tc>
                <w:tcPr>
                  <w:tcW w:w="900" w:type="dxa"/>
                  <w:vMerge w:val="continue"/>
                  <w:noWrap w:val="0"/>
                  <w:vAlign w:val="center"/>
                </w:tcPr>
                <w:p w14:paraId="0155522B">
                  <w:pPr>
                    <w:widowControl/>
                    <w:adjustRightInd w:val="0"/>
                    <w:snapToGrid w:val="0"/>
                    <w:jc w:val="center"/>
                    <w:rPr>
                      <w:rFonts w:hint="default" w:ascii="Times New Roman" w:hAnsi="Times New Roman" w:eastAsia="宋体" w:cs="Times New Roman"/>
                      <w:color w:val="auto"/>
                      <w:kern w:val="0"/>
                      <w:sz w:val="18"/>
                      <w:szCs w:val="18"/>
                      <w:highlight w:val="none"/>
                      <w:lang w:eastAsia="zh-CN"/>
                    </w:rPr>
                  </w:pPr>
                </w:p>
              </w:tc>
              <w:tc>
                <w:tcPr>
                  <w:tcW w:w="1040" w:type="dxa"/>
                  <w:noWrap w:val="0"/>
                  <w:vAlign w:val="center"/>
                </w:tcPr>
                <w:p w14:paraId="3B82A47D">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w:t>
                  </w:r>
                </w:p>
              </w:tc>
              <w:tc>
                <w:tcPr>
                  <w:tcW w:w="1128" w:type="dxa"/>
                  <w:noWrap w:val="0"/>
                  <w:vAlign w:val="center"/>
                </w:tcPr>
                <w:p w14:paraId="45DB6E44">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-25</w:t>
                  </w:r>
                </w:p>
              </w:tc>
              <w:tc>
                <w:tcPr>
                  <w:tcW w:w="1047" w:type="dxa"/>
                  <w:vMerge w:val="continue"/>
                  <w:noWrap w:val="0"/>
                  <w:vAlign w:val="center"/>
                </w:tcPr>
                <w:p w14:paraId="260FEE82">
                  <w:pPr>
                    <w:adjustRightInd w:val="0"/>
                    <w:snapToGrid w:val="0"/>
                    <w:jc w:val="center"/>
                    <w:rPr>
                      <w:rFonts w:hint="default" w:ascii="Times New Roman" w:hAnsi="Times New Roman" w:cs="Times New Roman"/>
                      <w:color w:val="auto"/>
                      <w:kern w:val="0"/>
                      <w:sz w:val="18"/>
                      <w:szCs w:val="18"/>
                      <w:highlight w:val="none"/>
                    </w:rPr>
                  </w:pPr>
                </w:p>
              </w:tc>
              <w:tc>
                <w:tcPr>
                  <w:tcW w:w="641" w:type="dxa"/>
                  <w:vMerge w:val="continue"/>
                  <w:noWrap w:val="0"/>
                  <w:vAlign w:val="center"/>
                </w:tcPr>
                <w:p w14:paraId="5443F0C3">
                  <w:pPr>
                    <w:adjustRightInd w:val="0"/>
                    <w:snapToGrid w:val="0"/>
                    <w:jc w:val="center"/>
                    <w:rPr>
                      <w:rFonts w:hint="default" w:ascii="Times New Roman" w:hAnsi="Times New Roman" w:cs="Times New Roman"/>
                      <w:color w:val="auto"/>
                      <w:kern w:val="0"/>
                      <w:sz w:val="18"/>
                      <w:szCs w:val="18"/>
                      <w:highlight w:val="none"/>
                    </w:rPr>
                  </w:pPr>
                </w:p>
              </w:tc>
              <w:tc>
                <w:tcPr>
                  <w:tcW w:w="849" w:type="dxa"/>
                  <w:vMerge w:val="continue"/>
                  <w:noWrap w:val="0"/>
                  <w:vAlign w:val="center"/>
                </w:tcPr>
                <w:p w14:paraId="0FBA0711">
                  <w:pPr>
                    <w:adjustRightInd w:val="0"/>
                    <w:snapToGrid w:val="0"/>
                    <w:jc w:val="center"/>
                    <w:rPr>
                      <w:rFonts w:hint="default" w:ascii="Times New Roman" w:hAnsi="Times New Roman" w:cs="Times New Roman"/>
                      <w:color w:val="auto"/>
                      <w:kern w:val="0"/>
                      <w:sz w:val="18"/>
                      <w:szCs w:val="18"/>
                      <w:highlight w:val="none"/>
                    </w:rPr>
                  </w:pPr>
                </w:p>
              </w:tc>
              <w:tc>
                <w:tcPr>
                  <w:tcW w:w="1085" w:type="dxa"/>
                  <w:noWrap w:val="0"/>
                  <w:vAlign w:val="center"/>
                </w:tcPr>
                <w:p w14:paraId="58CD99E7">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S</w:t>
                  </w:r>
                </w:p>
              </w:tc>
              <w:tc>
                <w:tcPr>
                  <w:tcW w:w="984" w:type="dxa"/>
                  <w:shd w:val="clear" w:color="auto" w:fill="auto"/>
                  <w:noWrap w:val="0"/>
                  <w:vAlign w:val="center"/>
                </w:tcPr>
                <w:p w14:paraId="54F70187">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25</w:t>
                  </w:r>
                </w:p>
              </w:tc>
            </w:tr>
            <w:tr w14:paraId="24D347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1" w:type="dxa"/>
                  <w:vMerge w:val="continue"/>
                  <w:noWrap w:val="0"/>
                  <w:vAlign w:val="center"/>
                </w:tcPr>
                <w:p w14:paraId="7B750F90">
                  <w:pPr>
                    <w:adjustRightInd w:val="0"/>
                    <w:snapToGrid w:val="0"/>
                    <w:jc w:val="center"/>
                    <w:rPr>
                      <w:rFonts w:hint="default" w:ascii="Times New Roman" w:hAnsi="Times New Roman" w:cs="Times New Roman"/>
                      <w:color w:val="auto"/>
                      <w:kern w:val="0"/>
                      <w:sz w:val="18"/>
                      <w:szCs w:val="18"/>
                      <w:highlight w:val="none"/>
                    </w:rPr>
                  </w:pPr>
                </w:p>
              </w:tc>
              <w:tc>
                <w:tcPr>
                  <w:tcW w:w="900" w:type="dxa"/>
                  <w:vMerge w:val="continue"/>
                  <w:noWrap w:val="0"/>
                  <w:vAlign w:val="center"/>
                </w:tcPr>
                <w:p w14:paraId="3DF3F840">
                  <w:pPr>
                    <w:widowControl/>
                    <w:adjustRightInd w:val="0"/>
                    <w:snapToGrid w:val="0"/>
                    <w:jc w:val="center"/>
                    <w:rPr>
                      <w:rFonts w:hint="default" w:ascii="Times New Roman" w:hAnsi="Times New Roman" w:eastAsia="宋体" w:cs="Times New Roman"/>
                      <w:color w:val="auto"/>
                      <w:kern w:val="0"/>
                      <w:sz w:val="18"/>
                      <w:szCs w:val="18"/>
                      <w:highlight w:val="none"/>
                      <w:lang w:eastAsia="zh-CN"/>
                    </w:rPr>
                  </w:pPr>
                </w:p>
              </w:tc>
              <w:tc>
                <w:tcPr>
                  <w:tcW w:w="1040" w:type="dxa"/>
                  <w:noWrap w:val="0"/>
                  <w:vAlign w:val="center"/>
                </w:tcPr>
                <w:p w14:paraId="26F78C80">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w:t>
                  </w:r>
                </w:p>
              </w:tc>
              <w:tc>
                <w:tcPr>
                  <w:tcW w:w="1128" w:type="dxa"/>
                  <w:noWrap w:val="0"/>
                  <w:vAlign w:val="center"/>
                </w:tcPr>
                <w:p w14:paraId="71799F1F">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w:t>
                  </w:r>
                </w:p>
              </w:tc>
              <w:tc>
                <w:tcPr>
                  <w:tcW w:w="1047" w:type="dxa"/>
                  <w:vMerge w:val="continue"/>
                  <w:noWrap w:val="0"/>
                  <w:vAlign w:val="center"/>
                </w:tcPr>
                <w:p w14:paraId="6DFDA1A7">
                  <w:pPr>
                    <w:adjustRightInd w:val="0"/>
                    <w:snapToGrid w:val="0"/>
                    <w:jc w:val="center"/>
                    <w:rPr>
                      <w:rFonts w:hint="default" w:ascii="Times New Roman" w:hAnsi="Times New Roman" w:cs="Times New Roman"/>
                      <w:color w:val="auto"/>
                      <w:kern w:val="0"/>
                      <w:sz w:val="18"/>
                      <w:szCs w:val="18"/>
                      <w:highlight w:val="none"/>
                    </w:rPr>
                  </w:pPr>
                </w:p>
              </w:tc>
              <w:tc>
                <w:tcPr>
                  <w:tcW w:w="641" w:type="dxa"/>
                  <w:vMerge w:val="continue"/>
                  <w:noWrap w:val="0"/>
                  <w:vAlign w:val="center"/>
                </w:tcPr>
                <w:p w14:paraId="78D5C4CB">
                  <w:pPr>
                    <w:adjustRightInd w:val="0"/>
                    <w:snapToGrid w:val="0"/>
                    <w:jc w:val="center"/>
                    <w:rPr>
                      <w:rFonts w:hint="default" w:ascii="Times New Roman" w:hAnsi="Times New Roman" w:cs="Times New Roman"/>
                      <w:color w:val="auto"/>
                      <w:kern w:val="0"/>
                      <w:sz w:val="18"/>
                      <w:szCs w:val="18"/>
                      <w:highlight w:val="none"/>
                    </w:rPr>
                  </w:pPr>
                </w:p>
              </w:tc>
              <w:tc>
                <w:tcPr>
                  <w:tcW w:w="849" w:type="dxa"/>
                  <w:vMerge w:val="continue"/>
                  <w:noWrap w:val="0"/>
                  <w:vAlign w:val="center"/>
                </w:tcPr>
                <w:p w14:paraId="55B20F04">
                  <w:pPr>
                    <w:adjustRightInd w:val="0"/>
                    <w:snapToGrid w:val="0"/>
                    <w:jc w:val="center"/>
                    <w:rPr>
                      <w:rFonts w:hint="default" w:ascii="Times New Roman" w:hAnsi="Times New Roman" w:cs="Times New Roman"/>
                      <w:color w:val="auto"/>
                      <w:kern w:val="0"/>
                      <w:sz w:val="18"/>
                      <w:szCs w:val="18"/>
                      <w:highlight w:val="none"/>
                    </w:rPr>
                  </w:pPr>
                </w:p>
              </w:tc>
              <w:tc>
                <w:tcPr>
                  <w:tcW w:w="1085" w:type="dxa"/>
                  <w:noWrap w:val="0"/>
                  <w:vAlign w:val="center"/>
                </w:tcPr>
                <w:p w14:paraId="6A89424B">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w:t>
                  </w:r>
                </w:p>
              </w:tc>
              <w:tc>
                <w:tcPr>
                  <w:tcW w:w="984" w:type="dxa"/>
                  <w:shd w:val="clear" w:color="auto" w:fill="auto"/>
                  <w:noWrap w:val="0"/>
                  <w:vAlign w:val="center"/>
                </w:tcPr>
                <w:p w14:paraId="06CD69A8">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5</w:t>
                  </w:r>
                </w:p>
              </w:tc>
            </w:tr>
          </w:tbl>
          <w:p w14:paraId="22E8EA83">
            <w:pPr>
              <w:tabs>
                <w:tab w:val="left" w:pos="6844"/>
              </w:tabs>
              <w:adjustRightInd w:val="0"/>
              <w:snapToGrid w:val="0"/>
              <w:jc w:val="left"/>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lang w:eastAsia="zh-CN"/>
              </w:rPr>
              <w:tab/>
            </w:r>
          </w:p>
          <w:p w14:paraId="779910C1">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表3-</w:t>
            </w:r>
            <w:r>
              <w:rPr>
                <w:rFonts w:hint="default" w:ascii="Times New Roman" w:hAnsi="Times New Roman" w:cs="Times New Roman"/>
                <w:b/>
                <w:bCs/>
                <w:color w:val="auto"/>
                <w:kern w:val="0"/>
                <w:szCs w:val="21"/>
                <w:highlight w:val="none"/>
                <w:lang w:val="en-US" w:eastAsia="zh-CN"/>
              </w:rPr>
              <w:t>4</w:t>
            </w:r>
            <w:r>
              <w:rPr>
                <w:rFonts w:hint="default" w:ascii="Times New Roman" w:hAnsi="Times New Roman" w:cs="Times New Roman"/>
                <w:b/>
                <w:bCs/>
                <w:color w:val="auto"/>
                <w:kern w:val="0"/>
                <w:szCs w:val="21"/>
                <w:highlight w:val="none"/>
              </w:rPr>
              <w:t xml:space="preserve">  </w:t>
            </w:r>
            <w:r>
              <w:rPr>
                <w:rFonts w:hint="default" w:ascii="Times New Roman" w:hAnsi="Times New Roman" w:cs="Times New Roman"/>
                <w:b/>
                <w:bCs/>
                <w:color w:val="auto"/>
                <w:kern w:val="0"/>
                <w:szCs w:val="21"/>
                <w:highlight w:val="none"/>
                <w:lang w:eastAsia="zh-CN"/>
              </w:rPr>
              <w:t>声</w:t>
            </w:r>
            <w:r>
              <w:rPr>
                <w:rFonts w:hint="default" w:ascii="Times New Roman" w:hAnsi="Times New Roman" w:cs="Times New Roman"/>
                <w:b/>
                <w:bCs/>
                <w:color w:val="auto"/>
                <w:kern w:val="0"/>
                <w:szCs w:val="21"/>
                <w:highlight w:val="none"/>
              </w:rPr>
              <w:t>环境保护目标</w:t>
            </w:r>
          </w:p>
          <w:tbl>
            <w:tblPr>
              <w:tblStyle w:val="14"/>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427"/>
              <w:gridCol w:w="1427"/>
              <w:gridCol w:w="1427"/>
              <w:gridCol w:w="2627"/>
            </w:tblGrid>
            <w:tr w14:paraId="2A9B9B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tcBorders>
                    <w:tl2br w:val="nil"/>
                    <w:tr2bl w:val="nil"/>
                  </w:tcBorders>
                  <w:noWrap w:val="0"/>
                  <w:vAlign w:val="center"/>
                </w:tcPr>
                <w:p w14:paraId="2ECBB3E3">
                  <w:pPr>
                    <w:adjustRightInd w:val="0"/>
                    <w:snapToGrid w:val="0"/>
                    <w:jc w:val="center"/>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cs="Times New Roman"/>
                      <w:color w:val="auto"/>
                      <w:kern w:val="0"/>
                      <w:sz w:val="18"/>
                      <w:szCs w:val="18"/>
                      <w:highlight w:val="none"/>
                      <w:vertAlign w:val="baseline"/>
                      <w:lang w:eastAsia="zh-CN"/>
                    </w:rPr>
                    <w:t>环境保护目标</w:t>
                  </w:r>
                </w:p>
              </w:tc>
              <w:tc>
                <w:tcPr>
                  <w:tcW w:w="1427" w:type="dxa"/>
                  <w:tcBorders>
                    <w:tl2br w:val="nil"/>
                    <w:tr2bl w:val="nil"/>
                  </w:tcBorders>
                  <w:noWrap w:val="0"/>
                  <w:vAlign w:val="center"/>
                </w:tcPr>
                <w:p w14:paraId="175A9447">
                  <w:pPr>
                    <w:adjustRightInd w:val="0"/>
                    <w:snapToGrid w:val="0"/>
                    <w:jc w:val="center"/>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cs="Times New Roman"/>
                      <w:color w:val="auto"/>
                      <w:kern w:val="0"/>
                      <w:sz w:val="18"/>
                      <w:szCs w:val="18"/>
                      <w:highlight w:val="none"/>
                      <w:vertAlign w:val="baseline"/>
                      <w:lang w:eastAsia="zh-CN"/>
                    </w:rPr>
                    <w:t>方位</w:t>
                  </w:r>
                </w:p>
              </w:tc>
              <w:tc>
                <w:tcPr>
                  <w:tcW w:w="1427" w:type="dxa"/>
                  <w:tcBorders>
                    <w:tl2br w:val="nil"/>
                    <w:tr2bl w:val="nil"/>
                  </w:tcBorders>
                  <w:noWrap w:val="0"/>
                  <w:vAlign w:val="center"/>
                </w:tcPr>
                <w:p w14:paraId="13085ECC">
                  <w:pPr>
                    <w:adjustRightInd w:val="0"/>
                    <w:snapToGrid w:val="0"/>
                    <w:jc w:val="center"/>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cs="Times New Roman"/>
                      <w:color w:val="auto"/>
                      <w:kern w:val="0"/>
                      <w:sz w:val="18"/>
                      <w:szCs w:val="18"/>
                      <w:highlight w:val="none"/>
                      <w:vertAlign w:val="baseline"/>
                      <w:lang w:eastAsia="zh-CN"/>
                    </w:rPr>
                    <w:t>距离（</w:t>
                  </w:r>
                  <w:r>
                    <w:rPr>
                      <w:rFonts w:hint="default" w:ascii="Times New Roman" w:hAnsi="Times New Roman" w:cs="Times New Roman"/>
                      <w:color w:val="auto"/>
                      <w:kern w:val="0"/>
                      <w:sz w:val="18"/>
                      <w:szCs w:val="18"/>
                      <w:highlight w:val="none"/>
                      <w:vertAlign w:val="baseline"/>
                      <w:lang w:val="en-US" w:eastAsia="zh-CN"/>
                    </w:rPr>
                    <w:t>m</w:t>
                  </w:r>
                  <w:r>
                    <w:rPr>
                      <w:rFonts w:hint="default" w:ascii="Times New Roman" w:hAnsi="Times New Roman" w:cs="Times New Roman"/>
                      <w:color w:val="auto"/>
                      <w:kern w:val="0"/>
                      <w:sz w:val="18"/>
                      <w:szCs w:val="18"/>
                      <w:highlight w:val="none"/>
                      <w:vertAlign w:val="baseline"/>
                      <w:lang w:eastAsia="zh-CN"/>
                    </w:rPr>
                    <w:t>）</w:t>
                  </w:r>
                </w:p>
              </w:tc>
              <w:tc>
                <w:tcPr>
                  <w:tcW w:w="1427" w:type="dxa"/>
                  <w:tcBorders>
                    <w:tl2br w:val="nil"/>
                    <w:tr2bl w:val="nil"/>
                  </w:tcBorders>
                  <w:noWrap w:val="0"/>
                  <w:vAlign w:val="center"/>
                </w:tcPr>
                <w:p w14:paraId="14677373">
                  <w:pPr>
                    <w:adjustRightInd w:val="0"/>
                    <w:snapToGrid w:val="0"/>
                    <w:jc w:val="center"/>
                    <w:rPr>
                      <w:rFonts w:hint="default" w:ascii="Times New Roman" w:hAnsi="Times New Roman" w:cs="Times New Roman"/>
                      <w:color w:val="auto"/>
                      <w:kern w:val="0"/>
                      <w:sz w:val="18"/>
                      <w:szCs w:val="18"/>
                      <w:highlight w:val="none"/>
                      <w:vertAlign w:val="baseline"/>
                      <w:lang w:eastAsia="zh-CN"/>
                    </w:rPr>
                  </w:pPr>
                  <w:r>
                    <w:rPr>
                      <w:rFonts w:hint="default" w:ascii="Times New Roman" w:hAnsi="Times New Roman" w:cs="Times New Roman"/>
                      <w:color w:val="auto"/>
                      <w:kern w:val="0"/>
                      <w:sz w:val="18"/>
                      <w:szCs w:val="18"/>
                      <w:highlight w:val="none"/>
                      <w:vertAlign w:val="baseline"/>
                      <w:lang w:eastAsia="zh-CN"/>
                    </w:rPr>
                    <w:t>规模（人）</w:t>
                  </w:r>
                </w:p>
              </w:tc>
              <w:tc>
                <w:tcPr>
                  <w:tcW w:w="2627" w:type="dxa"/>
                  <w:tcBorders>
                    <w:tl2br w:val="nil"/>
                    <w:tr2bl w:val="nil"/>
                  </w:tcBorders>
                  <w:noWrap w:val="0"/>
                  <w:vAlign w:val="center"/>
                </w:tcPr>
                <w:p w14:paraId="18F2518B">
                  <w:pPr>
                    <w:adjustRightInd w:val="0"/>
                    <w:snapToGrid w:val="0"/>
                    <w:jc w:val="center"/>
                    <w:rPr>
                      <w:rFonts w:hint="default" w:ascii="Times New Roman" w:hAnsi="Times New Roman" w:eastAsia="宋体" w:cs="Times New Roman"/>
                      <w:color w:val="auto"/>
                      <w:kern w:val="0"/>
                      <w:sz w:val="18"/>
                      <w:szCs w:val="18"/>
                      <w:highlight w:val="none"/>
                      <w:vertAlign w:val="baseline"/>
                      <w:lang w:eastAsia="zh-CN"/>
                    </w:rPr>
                  </w:pPr>
                  <w:r>
                    <w:rPr>
                      <w:rFonts w:hint="default" w:ascii="Times New Roman" w:hAnsi="Times New Roman" w:cs="Times New Roman"/>
                      <w:color w:val="auto"/>
                      <w:kern w:val="0"/>
                      <w:sz w:val="18"/>
                      <w:szCs w:val="18"/>
                      <w:highlight w:val="none"/>
                      <w:vertAlign w:val="baseline"/>
                      <w:lang w:eastAsia="zh-CN"/>
                    </w:rPr>
                    <w:t>环境质量要求</w:t>
                  </w:r>
                </w:p>
              </w:tc>
            </w:tr>
            <w:tr w14:paraId="74357C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restart"/>
                  <w:tcBorders>
                    <w:tl2br w:val="nil"/>
                    <w:tr2bl w:val="nil"/>
                  </w:tcBorders>
                  <w:noWrap w:val="0"/>
                  <w:vAlign w:val="center"/>
                </w:tcPr>
                <w:p w14:paraId="2F113CF4">
                  <w:pPr>
                    <w:widowControl/>
                    <w:adjustRightInd w:val="0"/>
                    <w:snapToGrid w:val="0"/>
                    <w:jc w:val="center"/>
                    <w:rPr>
                      <w:rFonts w:hint="default" w:ascii="Times New Roman" w:hAnsi="Times New Roman" w:cs="Times New Roman"/>
                      <w:color w:val="auto"/>
                      <w:kern w:val="0"/>
                      <w:sz w:val="18"/>
                      <w:szCs w:val="18"/>
                      <w:highlight w:val="none"/>
                      <w:vertAlign w:val="baseline"/>
                      <w:lang w:val="en-US"/>
                    </w:rPr>
                  </w:pPr>
                  <w:r>
                    <w:rPr>
                      <w:rFonts w:hint="default" w:ascii="Times New Roman" w:hAnsi="Times New Roman" w:eastAsia="宋体" w:cs="Times New Roman"/>
                      <w:color w:val="auto"/>
                      <w:kern w:val="0"/>
                      <w:sz w:val="18"/>
                      <w:szCs w:val="18"/>
                      <w:highlight w:val="none"/>
                      <w:lang w:eastAsia="zh-CN"/>
                    </w:rPr>
                    <w:t>三马架屯</w:t>
                  </w:r>
                </w:p>
              </w:tc>
              <w:tc>
                <w:tcPr>
                  <w:tcW w:w="1427" w:type="dxa"/>
                  <w:tcBorders>
                    <w:tl2br w:val="nil"/>
                    <w:tr2bl w:val="nil"/>
                  </w:tcBorders>
                  <w:noWrap w:val="0"/>
                  <w:vAlign w:val="center"/>
                </w:tcPr>
                <w:p w14:paraId="2BE967B7">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E</w:t>
                  </w:r>
                </w:p>
              </w:tc>
              <w:tc>
                <w:tcPr>
                  <w:tcW w:w="1427" w:type="dxa"/>
                  <w:tcBorders>
                    <w:tl2br w:val="nil"/>
                    <w:tr2bl w:val="nil"/>
                  </w:tcBorders>
                  <w:noWrap w:val="0"/>
                  <w:vAlign w:val="center"/>
                </w:tcPr>
                <w:p w14:paraId="43A36962">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5</w:t>
                  </w:r>
                </w:p>
              </w:tc>
              <w:tc>
                <w:tcPr>
                  <w:tcW w:w="1427" w:type="dxa"/>
                  <w:vMerge w:val="restart"/>
                  <w:tcBorders>
                    <w:tl2br w:val="nil"/>
                    <w:tr2bl w:val="nil"/>
                  </w:tcBorders>
                  <w:noWrap w:val="0"/>
                  <w:vAlign w:val="center"/>
                </w:tcPr>
                <w:p w14:paraId="5CA8F84B">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20</w:t>
                  </w:r>
                </w:p>
              </w:tc>
              <w:tc>
                <w:tcPr>
                  <w:tcW w:w="2627" w:type="dxa"/>
                  <w:vMerge w:val="restart"/>
                  <w:tcBorders>
                    <w:tl2br w:val="nil"/>
                    <w:tr2bl w:val="nil"/>
                  </w:tcBorders>
                  <w:noWrap w:val="0"/>
                  <w:vAlign w:val="center"/>
                </w:tcPr>
                <w:p w14:paraId="6242B01E">
                  <w:pPr>
                    <w:adjustRightInd w:val="0"/>
                    <w:snapToGrid w:val="0"/>
                    <w:jc w:val="center"/>
                    <w:rPr>
                      <w:rFonts w:hint="default" w:ascii="Times New Roman" w:hAnsi="Times New Roman" w:cs="Times New Roman"/>
                      <w:color w:val="auto"/>
                      <w:kern w:val="0"/>
                      <w:sz w:val="18"/>
                      <w:szCs w:val="18"/>
                      <w:highlight w:val="none"/>
                      <w:vertAlign w:val="baseline"/>
                    </w:rPr>
                  </w:pPr>
                  <w:r>
                    <w:rPr>
                      <w:rFonts w:hint="default" w:ascii="Times New Roman" w:hAnsi="Times New Roman" w:cs="Times New Roman"/>
                      <w:color w:val="auto"/>
                      <w:kern w:val="0"/>
                      <w:sz w:val="18"/>
                      <w:szCs w:val="18"/>
                      <w:highlight w:val="none"/>
                    </w:rPr>
                    <w:t>《声环境质量标准》（GB3096-2008）中2类标准</w:t>
                  </w:r>
                </w:p>
              </w:tc>
            </w:tr>
            <w:tr w14:paraId="0D4F63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tcBorders>
                    <w:tl2br w:val="nil"/>
                    <w:tr2bl w:val="nil"/>
                  </w:tcBorders>
                  <w:noWrap w:val="0"/>
                  <w:vAlign w:val="center"/>
                </w:tcPr>
                <w:p w14:paraId="498D34CF">
                  <w:pPr>
                    <w:widowControl/>
                    <w:adjustRightInd w:val="0"/>
                    <w:snapToGrid w:val="0"/>
                    <w:jc w:val="center"/>
                    <w:rPr>
                      <w:rFonts w:hint="default" w:ascii="Times New Roman" w:hAnsi="Times New Roman" w:eastAsia="宋体" w:cs="Times New Roman"/>
                      <w:color w:val="auto"/>
                      <w:kern w:val="0"/>
                      <w:sz w:val="18"/>
                      <w:szCs w:val="18"/>
                      <w:highlight w:val="none"/>
                      <w:lang w:eastAsia="zh-CN"/>
                    </w:rPr>
                  </w:pPr>
                </w:p>
              </w:tc>
              <w:tc>
                <w:tcPr>
                  <w:tcW w:w="1427" w:type="dxa"/>
                  <w:tcBorders>
                    <w:tl2br w:val="nil"/>
                    <w:tr2bl w:val="nil"/>
                  </w:tcBorders>
                  <w:noWrap w:val="0"/>
                  <w:vAlign w:val="center"/>
                </w:tcPr>
                <w:p w14:paraId="089B1FE1">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S</w:t>
                  </w:r>
                </w:p>
              </w:tc>
              <w:tc>
                <w:tcPr>
                  <w:tcW w:w="1427" w:type="dxa"/>
                  <w:tcBorders>
                    <w:tl2br w:val="nil"/>
                    <w:tr2bl w:val="nil"/>
                  </w:tcBorders>
                  <w:noWrap w:val="0"/>
                  <w:vAlign w:val="center"/>
                </w:tcPr>
                <w:p w14:paraId="0C80C507">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25</w:t>
                  </w:r>
                </w:p>
              </w:tc>
              <w:tc>
                <w:tcPr>
                  <w:tcW w:w="1427" w:type="dxa"/>
                  <w:vMerge w:val="continue"/>
                  <w:tcBorders>
                    <w:tl2br w:val="nil"/>
                    <w:tr2bl w:val="nil"/>
                  </w:tcBorders>
                  <w:noWrap w:val="0"/>
                  <w:vAlign w:val="center"/>
                </w:tcPr>
                <w:p w14:paraId="012D9D0F">
                  <w:pPr>
                    <w:adjustRightInd w:val="0"/>
                    <w:snapToGrid w:val="0"/>
                    <w:jc w:val="center"/>
                    <w:rPr>
                      <w:rFonts w:hint="default" w:ascii="Times New Roman" w:hAnsi="Times New Roman" w:cs="Times New Roman"/>
                      <w:color w:val="auto"/>
                      <w:kern w:val="0"/>
                      <w:sz w:val="18"/>
                      <w:szCs w:val="18"/>
                      <w:highlight w:val="none"/>
                      <w:lang w:val="en-US" w:eastAsia="zh-CN"/>
                    </w:rPr>
                  </w:pPr>
                </w:p>
              </w:tc>
              <w:tc>
                <w:tcPr>
                  <w:tcW w:w="2627" w:type="dxa"/>
                  <w:vMerge w:val="continue"/>
                  <w:tcBorders>
                    <w:tl2br w:val="nil"/>
                    <w:tr2bl w:val="nil"/>
                  </w:tcBorders>
                  <w:noWrap w:val="0"/>
                  <w:vAlign w:val="center"/>
                </w:tcPr>
                <w:p w14:paraId="20F2304A">
                  <w:pPr>
                    <w:adjustRightInd w:val="0"/>
                    <w:snapToGrid w:val="0"/>
                    <w:jc w:val="center"/>
                    <w:rPr>
                      <w:rFonts w:hint="default" w:ascii="Times New Roman" w:hAnsi="Times New Roman" w:cs="Times New Roman"/>
                      <w:color w:val="auto"/>
                      <w:kern w:val="0"/>
                      <w:sz w:val="18"/>
                      <w:szCs w:val="18"/>
                      <w:highlight w:val="none"/>
                    </w:rPr>
                  </w:pPr>
                </w:p>
              </w:tc>
            </w:tr>
            <w:tr w14:paraId="3C2445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tcBorders>
                    <w:tl2br w:val="nil"/>
                    <w:tr2bl w:val="nil"/>
                  </w:tcBorders>
                  <w:noWrap w:val="0"/>
                  <w:vAlign w:val="center"/>
                </w:tcPr>
                <w:p w14:paraId="46F7187E">
                  <w:pPr>
                    <w:widowControl/>
                    <w:adjustRightInd w:val="0"/>
                    <w:snapToGrid w:val="0"/>
                    <w:jc w:val="center"/>
                    <w:rPr>
                      <w:rFonts w:hint="default" w:ascii="Times New Roman" w:hAnsi="Times New Roman" w:eastAsia="宋体" w:cs="Times New Roman"/>
                      <w:color w:val="auto"/>
                      <w:kern w:val="0"/>
                      <w:sz w:val="18"/>
                      <w:szCs w:val="18"/>
                      <w:highlight w:val="none"/>
                      <w:lang w:eastAsia="zh-CN"/>
                    </w:rPr>
                  </w:pPr>
                </w:p>
              </w:tc>
              <w:tc>
                <w:tcPr>
                  <w:tcW w:w="1427" w:type="dxa"/>
                  <w:tcBorders>
                    <w:tl2br w:val="nil"/>
                    <w:tr2bl w:val="nil"/>
                  </w:tcBorders>
                  <w:noWrap w:val="0"/>
                  <w:vAlign w:val="center"/>
                </w:tcPr>
                <w:p w14:paraId="64BA5C95">
                  <w:pPr>
                    <w:adjustRightInd w:val="0"/>
                    <w:snapToGrid w:val="0"/>
                    <w:jc w:val="center"/>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w:t>
                  </w:r>
                </w:p>
              </w:tc>
              <w:tc>
                <w:tcPr>
                  <w:tcW w:w="1427" w:type="dxa"/>
                  <w:tcBorders>
                    <w:tl2br w:val="nil"/>
                    <w:tr2bl w:val="nil"/>
                  </w:tcBorders>
                  <w:noWrap w:val="0"/>
                  <w:vAlign w:val="center"/>
                </w:tcPr>
                <w:p w14:paraId="5949C462">
                  <w:pPr>
                    <w:adjustRightInd w:val="0"/>
                    <w:snapToGrid w:val="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5</w:t>
                  </w:r>
                </w:p>
              </w:tc>
              <w:tc>
                <w:tcPr>
                  <w:tcW w:w="1427" w:type="dxa"/>
                  <w:vMerge w:val="continue"/>
                  <w:tcBorders>
                    <w:tl2br w:val="nil"/>
                    <w:tr2bl w:val="nil"/>
                  </w:tcBorders>
                  <w:noWrap w:val="0"/>
                  <w:vAlign w:val="center"/>
                </w:tcPr>
                <w:p w14:paraId="7E1DBD4C">
                  <w:pPr>
                    <w:adjustRightInd w:val="0"/>
                    <w:snapToGrid w:val="0"/>
                    <w:jc w:val="center"/>
                    <w:rPr>
                      <w:rFonts w:hint="default" w:ascii="Times New Roman" w:hAnsi="Times New Roman" w:cs="Times New Roman"/>
                      <w:color w:val="auto"/>
                      <w:kern w:val="0"/>
                      <w:sz w:val="18"/>
                      <w:szCs w:val="18"/>
                      <w:highlight w:val="none"/>
                      <w:lang w:val="en-US" w:eastAsia="zh-CN"/>
                    </w:rPr>
                  </w:pPr>
                </w:p>
              </w:tc>
              <w:tc>
                <w:tcPr>
                  <w:tcW w:w="2627" w:type="dxa"/>
                  <w:vMerge w:val="continue"/>
                  <w:tcBorders>
                    <w:tl2br w:val="nil"/>
                    <w:tr2bl w:val="nil"/>
                  </w:tcBorders>
                  <w:noWrap w:val="0"/>
                  <w:vAlign w:val="center"/>
                </w:tcPr>
                <w:p w14:paraId="442C5431">
                  <w:pPr>
                    <w:adjustRightInd w:val="0"/>
                    <w:snapToGrid w:val="0"/>
                    <w:jc w:val="center"/>
                    <w:rPr>
                      <w:rFonts w:hint="default" w:ascii="Times New Roman" w:hAnsi="Times New Roman" w:cs="Times New Roman"/>
                      <w:color w:val="auto"/>
                      <w:kern w:val="0"/>
                      <w:sz w:val="18"/>
                      <w:szCs w:val="18"/>
                      <w:highlight w:val="none"/>
                    </w:rPr>
                  </w:pPr>
                </w:p>
              </w:tc>
            </w:tr>
          </w:tbl>
          <w:p w14:paraId="0816EA09">
            <w:pPr>
              <w:adjustRightInd w:val="0"/>
              <w:snapToGrid w:val="0"/>
              <w:spacing w:line="360" w:lineRule="auto"/>
              <w:ind w:firstLine="420" w:firstLineChars="200"/>
              <w:rPr>
                <w:rFonts w:hint="default" w:ascii="Times New Roman" w:hAnsi="Times New Roman" w:cs="Times New Roman"/>
                <w:color w:val="auto"/>
                <w:kern w:val="0"/>
                <w:szCs w:val="21"/>
                <w:highlight w:val="none"/>
              </w:rPr>
            </w:pPr>
          </w:p>
        </w:tc>
      </w:tr>
      <w:tr w14:paraId="57C98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2" w:hRule="atLeast"/>
          <w:jc w:val="center"/>
        </w:trPr>
        <w:tc>
          <w:tcPr>
            <w:tcW w:w="800" w:type="dxa"/>
            <w:noWrap w:val="0"/>
            <w:tcMar>
              <w:left w:w="28" w:type="dxa"/>
              <w:right w:w="28" w:type="dxa"/>
            </w:tcMar>
            <w:vAlign w:val="center"/>
          </w:tcPr>
          <w:p w14:paraId="70F799E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w:t>
            </w:r>
          </w:p>
          <w:p w14:paraId="441BF7F1">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物排</w:t>
            </w:r>
          </w:p>
          <w:p w14:paraId="70B3ED7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放控</w:t>
            </w:r>
          </w:p>
          <w:p w14:paraId="461A3C93">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制标</w:t>
            </w:r>
          </w:p>
          <w:p w14:paraId="32D27C1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准</w:t>
            </w:r>
          </w:p>
        </w:tc>
        <w:tc>
          <w:tcPr>
            <w:tcW w:w="8190" w:type="dxa"/>
            <w:noWrap w:val="0"/>
            <w:vAlign w:val="center"/>
          </w:tcPr>
          <w:p w14:paraId="75B86CD7">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1、大气</w:t>
            </w:r>
          </w:p>
          <w:p w14:paraId="66FB8337">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bCs w:val="0"/>
                <w:color w:val="auto"/>
                <w:highlight w:val="none"/>
              </w:rPr>
              <w:t>本项目锅炉排放的</w:t>
            </w:r>
            <w:r>
              <w:rPr>
                <w:rFonts w:hint="default" w:ascii="Times New Roman" w:hAnsi="Times New Roman" w:cs="Times New Roman"/>
                <w:bCs w:val="0"/>
                <w:color w:val="auto"/>
                <w:highlight w:val="none"/>
                <w:lang w:eastAsia="zh-CN"/>
              </w:rPr>
              <w:t>污染物</w:t>
            </w:r>
            <w:r>
              <w:rPr>
                <w:rFonts w:hint="default" w:ascii="Times New Roman" w:hAnsi="Times New Roman" w:cs="Times New Roman"/>
                <w:bCs w:val="0"/>
                <w:color w:val="auto"/>
                <w:highlight w:val="none"/>
              </w:rPr>
              <w:t>执行</w:t>
            </w:r>
            <w:r>
              <w:rPr>
                <w:rFonts w:hint="default" w:ascii="Times New Roman" w:hAnsi="Times New Roman" w:cs="Times New Roman"/>
                <w:color w:val="auto"/>
                <w:highlight w:val="none"/>
              </w:rPr>
              <w:t>《锅炉大气污染物排放标准》（GB13271-2014）</w:t>
            </w:r>
            <w:r>
              <w:rPr>
                <w:rFonts w:hint="default" w:ascii="Times New Roman" w:hAnsi="Times New Roman" w:cs="Times New Roman"/>
                <w:color w:val="auto"/>
                <w:highlight w:val="none"/>
                <w:lang w:eastAsia="zh-CN"/>
              </w:rPr>
              <w:t>表</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中“燃煤锅炉”排放标准</w:t>
            </w:r>
            <w:r>
              <w:rPr>
                <w:rFonts w:hint="default" w:ascii="Times New Roman" w:hAnsi="Times New Roman" w:cs="Times New Roman"/>
                <w:bCs w:val="0"/>
                <w:color w:val="auto"/>
                <w:highlight w:val="none"/>
              </w:rPr>
              <w:t>，具体标准浓度限值见表</w:t>
            </w:r>
            <w:r>
              <w:rPr>
                <w:rFonts w:hint="default" w:ascii="Times New Roman" w:hAnsi="Times New Roman" w:cs="Times New Roman"/>
                <w:bCs w:val="0"/>
                <w:color w:val="auto"/>
                <w:highlight w:val="none"/>
                <w:lang w:val="en-US" w:eastAsia="zh-CN"/>
              </w:rPr>
              <w:t>3</w:t>
            </w:r>
            <w:r>
              <w:rPr>
                <w:rFonts w:hint="default" w:ascii="Times New Roman" w:hAnsi="Times New Roman" w:cs="Times New Roman"/>
                <w:bCs w:val="0"/>
                <w:color w:val="auto"/>
                <w:highlight w:val="none"/>
              </w:rPr>
              <w:t>-</w:t>
            </w:r>
            <w:r>
              <w:rPr>
                <w:rFonts w:hint="default" w:ascii="Times New Roman" w:hAnsi="Times New Roman" w:cs="Times New Roman"/>
                <w:bCs w:val="0"/>
                <w:color w:val="auto"/>
                <w:highlight w:val="none"/>
                <w:lang w:val="en-US" w:eastAsia="zh-CN"/>
              </w:rPr>
              <w:t>5</w:t>
            </w:r>
            <w:r>
              <w:rPr>
                <w:rFonts w:hint="default" w:ascii="Times New Roman" w:hAnsi="Times New Roman" w:cs="Times New Roman"/>
                <w:bCs w:val="0"/>
                <w:color w:val="auto"/>
                <w:highlight w:val="none"/>
              </w:rPr>
              <w:t>。</w:t>
            </w:r>
            <w:r>
              <w:rPr>
                <w:rFonts w:hint="default" w:ascii="Times New Roman" w:hAnsi="Times New Roman" w:cs="Times New Roman"/>
                <w:bCs w:val="0"/>
                <w:color w:val="auto"/>
                <w:highlight w:val="none"/>
                <w:lang w:val="en-US" w:eastAsia="zh-CN"/>
              </w:rPr>
              <w:t>3t/h生物质锅炉烟囱最低高度为30m。</w:t>
            </w:r>
          </w:p>
          <w:p w14:paraId="2C92036A">
            <w:pPr>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表</w:t>
            </w:r>
            <w:r>
              <w:rPr>
                <w:rFonts w:hint="default" w:ascii="Times New Roman" w:hAnsi="Times New Roman" w:cs="Times New Roman"/>
                <w:b/>
                <w:bCs w:val="0"/>
                <w:color w:val="auto"/>
                <w:highlight w:val="none"/>
                <w:lang w:val="en-US" w:eastAsia="zh-CN"/>
              </w:rPr>
              <w:t>3</w:t>
            </w:r>
            <w:r>
              <w:rPr>
                <w:rFonts w:hint="default" w:ascii="Times New Roman" w:hAnsi="Times New Roman" w:cs="Times New Roman"/>
                <w:b/>
                <w:bCs w:val="0"/>
                <w:color w:val="auto"/>
                <w:highlight w:val="none"/>
              </w:rPr>
              <w:t>-</w:t>
            </w:r>
            <w:r>
              <w:rPr>
                <w:rFonts w:hint="default" w:ascii="Times New Roman" w:hAnsi="Times New Roman" w:cs="Times New Roman"/>
                <w:b/>
                <w:bCs w:val="0"/>
                <w:color w:val="auto"/>
                <w:highlight w:val="none"/>
                <w:lang w:val="en-US" w:eastAsia="zh-CN"/>
              </w:rPr>
              <w:t xml:space="preserve">5 </w:t>
            </w:r>
            <w:r>
              <w:rPr>
                <w:rFonts w:hint="default" w:ascii="Times New Roman" w:hAnsi="Times New Roman" w:cs="Times New Roman"/>
                <w:b/>
                <w:bCs w:val="0"/>
                <w:color w:val="auto"/>
                <w:highlight w:val="none"/>
              </w:rPr>
              <w:t xml:space="preserve"> 锅炉大气污染物排放标准  单位：mg/m</w:t>
            </w:r>
            <w:r>
              <w:rPr>
                <w:rFonts w:hint="default" w:ascii="Times New Roman" w:hAnsi="Times New Roman" w:cs="Times New Roman"/>
                <w:b/>
                <w:bCs w:val="0"/>
                <w:color w:val="auto"/>
                <w:highlight w:val="none"/>
                <w:vertAlign w:val="superscript"/>
              </w:rPr>
              <w:t>3</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1474"/>
              <w:gridCol w:w="1858"/>
              <w:gridCol w:w="1560"/>
              <w:gridCol w:w="1582"/>
            </w:tblGrid>
            <w:tr w14:paraId="6EF9C0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783" w:type="dxa"/>
                  <w:tcBorders>
                    <w:tl2br w:val="nil"/>
                    <w:tr2bl w:val="nil"/>
                  </w:tcBorders>
                  <w:noWrap w:val="0"/>
                  <w:vAlign w:val="center"/>
                </w:tcPr>
                <w:p w14:paraId="0FBA49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污染物项目</w:t>
                  </w:r>
                </w:p>
              </w:tc>
              <w:tc>
                <w:tcPr>
                  <w:tcW w:w="1410" w:type="dxa"/>
                  <w:tcBorders>
                    <w:tl2br w:val="nil"/>
                    <w:tr2bl w:val="nil"/>
                  </w:tcBorders>
                  <w:noWrap w:val="0"/>
                  <w:vAlign w:val="center"/>
                </w:tcPr>
                <w:p w14:paraId="27D71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1777" w:type="dxa"/>
                  <w:tcBorders>
                    <w:tl2br w:val="nil"/>
                    <w:tr2bl w:val="nil"/>
                  </w:tcBorders>
                  <w:noWrap w:val="0"/>
                  <w:vAlign w:val="center"/>
                </w:tcPr>
                <w:p w14:paraId="52D327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二氧化硫</w:t>
                  </w:r>
                </w:p>
              </w:tc>
              <w:tc>
                <w:tcPr>
                  <w:tcW w:w="1492" w:type="dxa"/>
                  <w:tcBorders>
                    <w:tl2br w:val="nil"/>
                    <w:tr2bl w:val="nil"/>
                  </w:tcBorders>
                  <w:noWrap w:val="0"/>
                  <w:vAlign w:val="center"/>
                </w:tcPr>
                <w:p w14:paraId="1F77B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氮氧化物</w:t>
                  </w:r>
                </w:p>
              </w:tc>
              <w:tc>
                <w:tcPr>
                  <w:tcW w:w="1512" w:type="dxa"/>
                  <w:tcBorders>
                    <w:tl2br w:val="nil"/>
                    <w:tr2bl w:val="nil"/>
                  </w:tcBorders>
                  <w:noWrap w:val="0"/>
                  <w:vAlign w:val="center"/>
                </w:tcPr>
                <w:p w14:paraId="51146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烟气黑度</w:t>
                  </w:r>
                </w:p>
              </w:tc>
            </w:tr>
            <w:tr w14:paraId="164D48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3" w:type="dxa"/>
                  <w:tcBorders>
                    <w:tl2br w:val="nil"/>
                    <w:tr2bl w:val="nil"/>
                  </w:tcBorders>
                  <w:noWrap w:val="0"/>
                  <w:vAlign w:val="center"/>
                </w:tcPr>
                <w:p w14:paraId="131D9C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限值</w:t>
                  </w:r>
                </w:p>
              </w:tc>
              <w:tc>
                <w:tcPr>
                  <w:tcW w:w="1410" w:type="dxa"/>
                  <w:tcBorders>
                    <w:tl2br w:val="nil"/>
                    <w:tr2bl w:val="nil"/>
                  </w:tcBorders>
                  <w:noWrap w:val="0"/>
                  <w:vAlign w:val="center"/>
                </w:tcPr>
                <w:p w14:paraId="3161841B">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50</w:t>
                  </w:r>
                </w:p>
              </w:tc>
              <w:tc>
                <w:tcPr>
                  <w:tcW w:w="1777" w:type="dxa"/>
                  <w:tcBorders>
                    <w:tl2br w:val="nil"/>
                    <w:tr2bl w:val="nil"/>
                  </w:tcBorders>
                  <w:noWrap w:val="0"/>
                  <w:vAlign w:val="center"/>
                </w:tcPr>
                <w:p w14:paraId="2E7DA0E4">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300</w:t>
                  </w:r>
                </w:p>
              </w:tc>
              <w:tc>
                <w:tcPr>
                  <w:tcW w:w="1492" w:type="dxa"/>
                  <w:tcBorders>
                    <w:tl2br w:val="nil"/>
                    <w:tr2bl w:val="nil"/>
                  </w:tcBorders>
                  <w:noWrap w:val="0"/>
                  <w:vAlign w:val="center"/>
                </w:tcPr>
                <w:p w14:paraId="413EC009">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300</w:t>
                  </w:r>
                </w:p>
              </w:tc>
              <w:tc>
                <w:tcPr>
                  <w:tcW w:w="1512" w:type="dxa"/>
                  <w:tcBorders>
                    <w:tl2br w:val="nil"/>
                    <w:tr2bl w:val="nil"/>
                  </w:tcBorders>
                  <w:noWrap w:val="0"/>
                  <w:vAlign w:val="center"/>
                </w:tcPr>
                <w:p w14:paraId="3EB996BE">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≤1</w:t>
                  </w:r>
                </w:p>
              </w:tc>
            </w:tr>
          </w:tbl>
          <w:p w14:paraId="457260B0">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2、废水</w:t>
            </w:r>
          </w:p>
          <w:p w14:paraId="2533CF7F">
            <w:pPr>
              <w:wordWrap w:val="0"/>
              <w:adjustRightInd w:val="0"/>
              <w:spacing w:line="360" w:lineRule="auto"/>
              <w:ind w:firstLine="420" w:firstLineChars="200"/>
              <w:textAlignment w:val="baseline"/>
              <w:rPr>
                <w:rFonts w:hint="default" w:ascii="Times New Roman" w:hAnsi="Times New Roman" w:eastAsia="宋体" w:cs="Times New Roman"/>
                <w:bCs/>
                <w:color w:val="auto"/>
                <w:spacing w:val="-2"/>
                <w:sz w:val="21"/>
                <w:szCs w:val="21"/>
                <w:highlight w:val="none"/>
              </w:rPr>
            </w:pPr>
            <w:r>
              <w:rPr>
                <w:rFonts w:hint="default" w:ascii="Times New Roman" w:hAnsi="Times New Roman" w:eastAsia="宋体" w:cs="Times New Roman"/>
                <w:color w:val="auto"/>
                <w:sz w:val="21"/>
                <w:szCs w:val="21"/>
                <w:highlight w:val="none"/>
                <w:lang w:eastAsia="zh-CN"/>
              </w:rPr>
              <w:t>现有</w:t>
            </w:r>
            <w:r>
              <w:rPr>
                <w:rFonts w:hint="default" w:ascii="Times New Roman" w:hAnsi="Times New Roman" w:eastAsia="宋体" w:cs="Times New Roman"/>
                <w:color w:val="auto"/>
                <w:sz w:val="21"/>
                <w:szCs w:val="21"/>
                <w:highlight w:val="none"/>
              </w:rPr>
              <w:t>项目废水执行</w:t>
            </w:r>
            <w:r>
              <w:rPr>
                <w:rFonts w:hint="default" w:ascii="Times New Roman" w:hAnsi="Times New Roman" w:eastAsia="宋体" w:cs="Times New Roman"/>
                <w:bCs/>
                <w:color w:val="auto"/>
                <w:spacing w:val="-2"/>
                <w:sz w:val="21"/>
                <w:szCs w:val="21"/>
                <w:highlight w:val="none"/>
              </w:rPr>
              <w:t>《污水综合排放标准》（GB8978-1996）三级标准</w:t>
            </w:r>
            <w:r>
              <w:rPr>
                <w:rFonts w:hint="default" w:ascii="Times New Roman" w:hAnsi="Times New Roman" w:eastAsia="宋体" w:cs="Times New Roman"/>
                <w:bCs/>
                <w:color w:val="auto"/>
                <w:spacing w:val="-2"/>
                <w:sz w:val="21"/>
                <w:szCs w:val="21"/>
                <w:highlight w:val="none"/>
                <w:lang w:eastAsia="zh-CN"/>
              </w:rPr>
              <w:t>及连丰乡污水处理厂</w:t>
            </w:r>
            <w:r>
              <w:rPr>
                <w:rFonts w:hint="default" w:ascii="Times New Roman" w:hAnsi="Times New Roman" w:eastAsia="宋体" w:cs="Times New Roman"/>
                <w:bCs/>
                <w:color w:val="auto"/>
                <w:spacing w:val="-2"/>
                <w:sz w:val="21"/>
                <w:szCs w:val="21"/>
                <w:highlight w:val="none"/>
              </w:rPr>
              <w:t>进水水质要求</w:t>
            </w:r>
            <w:r>
              <w:rPr>
                <w:rFonts w:hint="default" w:ascii="Times New Roman" w:hAnsi="Times New Roman" w:eastAsia="宋体" w:cs="Times New Roman"/>
                <w:bCs/>
                <w:color w:val="auto"/>
                <w:spacing w:val="-2"/>
                <w:sz w:val="21"/>
                <w:szCs w:val="21"/>
                <w:highlight w:val="none"/>
                <w:lang w:eastAsia="zh-CN"/>
              </w:rPr>
              <w:t>，锅炉排污水</w:t>
            </w:r>
            <w:r>
              <w:rPr>
                <w:rFonts w:hint="default" w:ascii="Times New Roman" w:hAnsi="Times New Roman" w:cs="Times New Roman"/>
                <w:color w:val="auto"/>
                <w:spacing w:val="0"/>
                <w:highlight w:val="none"/>
                <w:lang w:eastAsia="zh-CN"/>
              </w:rPr>
              <w:t>用于</w:t>
            </w:r>
            <w:r>
              <w:rPr>
                <w:rFonts w:hint="default" w:ascii="Times New Roman" w:hAnsi="Times New Roman" w:cs="Times New Roman"/>
                <w:color w:val="auto"/>
                <w:spacing w:val="0"/>
                <w:highlight w:val="none"/>
                <w:lang w:eastAsia="zh-CN"/>
              </w:rPr>
              <w:t>灰渣、厂区内洒水降尘及厂区绿化</w:t>
            </w:r>
            <w:r>
              <w:rPr>
                <w:rFonts w:hint="default" w:ascii="Times New Roman" w:hAnsi="Times New Roman" w:cs="Times New Roman"/>
                <w:color w:val="auto"/>
                <w:spacing w:val="0"/>
                <w:highlight w:val="none"/>
                <w:lang w:eastAsia="zh-CN"/>
              </w:rPr>
              <w:t>，不外排</w:t>
            </w:r>
            <w:r>
              <w:rPr>
                <w:rFonts w:hint="default" w:ascii="Times New Roman" w:hAnsi="Times New Roman" w:eastAsia="宋体" w:cs="Times New Roman"/>
                <w:bCs/>
                <w:color w:val="auto"/>
                <w:spacing w:val="-2"/>
                <w:sz w:val="21"/>
                <w:szCs w:val="21"/>
                <w:highlight w:val="none"/>
              </w:rPr>
              <w:t>。</w:t>
            </w:r>
          </w:p>
          <w:p w14:paraId="0883EE01">
            <w:pPr>
              <w:pStyle w:val="5"/>
              <w:jc w:val="center"/>
              <w:rPr>
                <w:rFonts w:hint="default" w:ascii="Times New Roman" w:hAnsi="Times New Roman" w:eastAsia="宋体" w:cs="Times New Roman"/>
                <w:b/>
                <w:bCs w:val="0"/>
                <w:highlight w:val="none"/>
                <w:lang w:val="en-US" w:eastAsia="zh-CN"/>
              </w:rPr>
            </w:pPr>
            <w:r>
              <w:rPr>
                <w:rFonts w:hint="default" w:ascii="Times New Roman" w:hAnsi="Times New Roman" w:eastAsia="宋体" w:cs="Times New Roman"/>
                <w:b/>
                <w:bCs w:val="0"/>
                <w:color w:val="auto"/>
                <w:spacing w:val="-2"/>
                <w:sz w:val="21"/>
                <w:szCs w:val="21"/>
                <w:highlight w:val="none"/>
                <w:lang w:eastAsia="zh-CN"/>
              </w:rPr>
              <w:t>表</w:t>
            </w:r>
            <w:r>
              <w:rPr>
                <w:rFonts w:hint="default" w:ascii="Times New Roman" w:hAnsi="Times New Roman" w:eastAsia="宋体" w:cs="Times New Roman"/>
                <w:b/>
                <w:bCs w:val="0"/>
                <w:color w:val="auto"/>
                <w:spacing w:val="-2"/>
                <w:sz w:val="21"/>
                <w:szCs w:val="21"/>
                <w:highlight w:val="none"/>
                <w:lang w:val="en-US" w:eastAsia="zh-CN"/>
              </w:rPr>
              <w:t>3-6 废水排放标准  单位：mg/L</w:t>
            </w:r>
          </w:p>
          <w:tbl>
            <w:tblPr>
              <w:tblStyle w:val="13"/>
              <w:tblW w:w="815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236"/>
              <w:gridCol w:w="2144"/>
              <w:gridCol w:w="2023"/>
              <w:gridCol w:w="1755"/>
            </w:tblGrid>
            <w:tr w14:paraId="7661B4E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70" w:hRule="atLeast"/>
                <w:jc w:val="center"/>
              </w:trPr>
              <w:tc>
                <w:tcPr>
                  <w:tcW w:w="2236" w:type="dxa"/>
                  <w:tcBorders>
                    <w:tl2br w:val="nil"/>
                    <w:tr2bl w:val="nil"/>
                  </w:tcBorders>
                  <w:noWrap w:val="0"/>
                  <w:vAlign w:val="center"/>
                </w:tcPr>
                <w:p w14:paraId="60712DDE">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highlight w:val="none"/>
                      <w:lang w:val="zh-CN"/>
                    </w:rPr>
                    <w:t>污染物项目</w:t>
                  </w:r>
                </w:p>
              </w:tc>
              <w:tc>
                <w:tcPr>
                  <w:tcW w:w="2144" w:type="dxa"/>
                  <w:tcBorders>
                    <w:tl2br w:val="nil"/>
                    <w:tr2bl w:val="nil"/>
                  </w:tcBorders>
                  <w:noWrap w:val="0"/>
                  <w:vAlign w:val="center"/>
                </w:tcPr>
                <w:p w14:paraId="797F4A8C">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eastAsia="zh-CN"/>
                    </w:rPr>
                  </w:pPr>
                  <w:r>
                    <w:rPr>
                      <w:rFonts w:hint="default" w:ascii="Times New Roman" w:hAnsi="Times New Roman" w:eastAsia="宋体" w:cs="Times New Roman"/>
                      <w:color w:val="000000"/>
                      <w:sz w:val="18"/>
                      <w:szCs w:val="18"/>
                      <w:highlight w:val="none"/>
                      <w:lang w:val="en-GB"/>
                    </w:rPr>
                    <w:t>《污水综合排放标准》（GB8978-1996）</w:t>
                  </w:r>
                  <w:r>
                    <w:rPr>
                      <w:rFonts w:hint="default" w:ascii="Times New Roman" w:hAnsi="Times New Roman" w:eastAsia="宋体" w:cs="Times New Roman"/>
                      <w:color w:val="000000"/>
                      <w:sz w:val="18"/>
                      <w:szCs w:val="18"/>
                      <w:highlight w:val="none"/>
                      <w:lang w:val="en-GB" w:eastAsia="zh-CN"/>
                    </w:rPr>
                    <w:t>表4</w:t>
                  </w:r>
                  <w:r>
                    <w:rPr>
                      <w:rFonts w:hint="default" w:ascii="Times New Roman" w:hAnsi="Times New Roman" w:eastAsia="宋体" w:cs="Times New Roman"/>
                      <w:color w:val="000000"/>
                      <w:sz w:val="18"/>
                      <w:szCs w:val="18"/>
                      <w:highlight w:val="none"/>
                      <w:lang w:val="en-GB"/>
                    </w:rPr>
                    <w:t>三级标准</w:t>
                  </w:r>
                </w:p>
              </w:tc>
              <w:tc>
                <w:tcPr>
                  <w:tcW w:w="2023" w:type="dxa"/>
                  <w:tcBorders>
                    <w:tl2br w:val="nil"/>
                    <w:tr2bl w:val="nil"/>
                  </w:tcBorders>
                  <w:noWrap w:val="0"/>
                  <w:vAlign w:val="center"/>
                </w:tcPr>
                <w:p w14:paraId="130F1559">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GB" w:eastAsia="zh-CN"/>
                    </w:rPr>
                  </w:pPr>
                  <w:r>
                    <w:rPr>
                      <w:rFonts w:hint="default" w:ascii="Times New Roman" w:hAnsi="Times New Roman" w:cs="Times New Roman"/>
                      <w:color w:val="000000"/>
                      <w:sz w:val="18"/>
                      <w:szCs w:val="18"/>
                      <w:highlight w:val="none"/>
                      <w:lang w:val="en-GB" w:eastAsia="zh-CN"/>
                    </w:rPr>
                    <w:t>污水处理厂进水水质标准</w:t>
                  </w:r>
                </w:p>
              </w:tc>
              <w:tc>
                <w:tcPr>
                  <w:tcW w:w="1755" w:type="dxa"/>
                  <w:tcBorders>
                    <w:tl2br w:val="nil"/>
                    <w:tr2bl w:val="nil"/>
                  </w:tcBorders>
                  <w:noWrap w:val="0"/>
                  <w:vAlign w:val="center"/>
                </w:tcPr>
                <w:p w14:paraId="400B1468">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GB" w:eastAsia="zh-CN"/>
                    </w:rPr>
                  </w:pPr>
                  <w:r>
                    <w:rPr>
                      <w:rFonts w:hint="default" w:ascii="Times New Roman" w:hAnsi="Times New Roman" w:cs="Times New Roman"/>
                      <w:color w:val="000000"/>
                      <w:sz w:val="18"/>
                      <w:szCs w:val="18"/>
                      <w:highlight w:val="none"/>
                      <w:lang w:val="en-GB" w:eastAsia="zh-CN"/>
                    </w:rPr>
                    <w:t>本项目标准</w:t>
                  </w:r>
                </w:p>
              </w:tc>
            </w:tr>
            <w:tr w14:paraId="7808A1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3" w:hRule="atLeast"/>
                <w:jc w:val="center"/>
              </w:trPr>
              <w:tc>
                <w:tcPr>
                  <w:tcW w:w="2236" w:type="dxa"/>
                  <w:tcBorders>
                    <w:tl2br w:val="nil"/>
                    <w:tr2bl w:val="nil"/>
                  </w:tcBorders>
                  <w:noWrap w:val="0"/>
                  <w:vAlign w:val="center"/>
                </w:tcPr>
                <w:p w14:paraId="48CE3794">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GB"/>
                    </w:rPr>
                  </w:pPr>
                  <w:r>
                    <w:rPr>
                      <w:rFonts w:hint="default" w:ascii="Times New Roman" w:hAnsi="Times New Roman" w:eastAsia="宋体" w:cs="Times New Roman"/>
                      <w:color w:val="000000"/>
                      <w:sz w:val="18"/>
                      <w:szCs w:val="18"/>
                      <w:highlight w:val="none"/>
                      <w:lang w:val="en-GB"/>
                    </w:rPr>
                    <w:t>化学需氧量（COD）</w:t>
                  </w:r>
                </w:p>
              </w:tc>
              <w:tc>
                <w:tcPr>
                  <w:tcW w:w="2144" w:type="dxa"/>
                  <w:tcBorders>
                    <w:tl2br w:val="nil"/>
                    <w:tr2bl w:val="nil"/>
                  </w:tcBorders>
                  <w:noWrap w:val="0"/>
                  <w:vAlign w:val="center"/>
                </w:tcPr>
                <w:p w14:paraId="37BB1B84">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GB"/>
                    </w:rPr>
                    <w:t>500</w:t>
                  </w:r>
                </w:p>
              </w:tc>
              <w:tc>
                <w:tcPr>
                  <w:tcW w:w="2023" w:type="dxa"/>
                  <w:tcBorders>
                    <w:tl2br w:val="nil"/>
                    <w:tr2bl w:val="nil"/>
                  </w:tcBorders>
                  <w:noWrap w:val="0"/>
                  <w:vAlign w:val="center"/>
                </w:tcPr>
                <w:p w14:paraId="2239D8F2">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cs="Times New Roman"/>
                      <w:color w:val="000000"/>
                      <w:sz w:val="18"/>
                      <w:szCs w:val="18"/>
                      <w:highlight w:val="none"/>
                      <w:lang w:val="en-US" w:eastAsia="zh-CN"/>
                    </w:rPr>
                    <w:t>350</w:t>
                  </w:r>
                </w:p>
              </w:tc>
              <w:tc>
                <w:tcPr>
                  <w:tcW w:w="1755" w:type="dxa"/>
                  <w:tcBorders>
                    <w:tl2br w:val="nil"/>
                    <w:tr2bl w:val="nil"/>
                  </w:tcBorders>
                  <w:noWrap w:val="0"/>
                  <w:vAlign w:val="center"/>
                </w:tcPr>
                <w:p w14:paraId="2C13237E">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GB" w:eastAsia="zh-CN" w:bidi="ar-SA"/>
                    </w:rPr>
                  </w:pPr>
                  <w:r>
                    <w:rPr>
                      <w:rFonts w:hint="default" w:ascii="Times New Roman" w:hAnsi="Times New Roman" w:cs="Times New Roman"/>
                      <w:color w:val="000000"/>
                      <w:sz w:val="18"/>
                      <w:szCs w:val="18"/>
                      <w:highlight w:val="none"/>
                      <w:lang w:val="en-US" w:eastAsia="zh-CN"/>
                    </w:rPr>
                    <w:t>350</w:t>
                  </w:r>
                </w:p>
              </w:tc>
            </w:tr>
            <w:tr w14:paraId="37A03D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643" w:hRule="atLeast"/>
                <w:jc w:val="center"/>
              </w:trPr>
              <w:tc>
                <w:tcPr>
                  <w:tcW w:w="2236" w:type="dxa"/>
                  <w:tcBorders>
                    <w:tl2br w:val="nil"/>
                    <w:tr2bl w:val="nil"/>
                  </w:tcBorders>
                  <w:noWrap w:val="0"/>
                  <w:vAlign w:val="center"/>
                </w:tcPr>
                <w:p w14:paraId="62EA25D2">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GB"/>
                    </w:rPr>
                  </w:pPr>
                  <w:r>
                    <w:rPr>
                      <w:rFonts w:hint="default" w:ascii="Times New Roman" w:hAnsi="Times New Roman" w:eastAsia="宋体" w:cs="Times New Roman"/>
                      <w:color w:val="000000"/>
                      <w:sz w:val="18"/>
                      <w:szCs w:val="18"/>
                      <w:highlight w:val="none"/>
                      <w:lang w:val="en-GB"/>
                    </w:rPr>
                    <w:t>五日生化需氧量（BOD</w:t>
                  </w:r>
                  <w:r>
                    <w:rPr>
                      <w:rFonts w:hint="default" w:ascii="Times New Roman" w:hAnsi="Times New Roman" w:eastAsia="宋体" w:cs="Times New Roman"/>
                      <w:color w:val="000000"/>
                      <w:sz w:val="18"/>
                      <w:szCs w:val="18"/>
                      <w:highlight w:val="none"/>
                      <w:vertAlign w:val="subscript"/>
                      <w:lang w:val="en-GB"/>
                    </w:rPr>
                    <w:t>5</w:t>
                  </w:r>
                  <w:r>
                    <w:rPr>
                      <w:rFonts w:hint="default" w:ascii="Times New Roman" w:hAnsi="Times New Roman" w:eastAsia="宋体" w:cs="Times New Roman"/>
                      <w:color w:val="000000"/>
                      <w:sz w:val="18"/>
                      <w:szCs w:val="18"/>
                      <w:highlight w:val="none"/>
                      <w:lang w:val="en-GB"/>
                    </w:rPr>
                    <w:t>）</w:t>
                  </w:r>
                </w:p>
              </w:tc>
              <w:tc>
                <w:tcPr>
                  <w:tcW w:w="2144" w:type="dxa"/>
                  <w:tcBorders>
                    <w:tl2br w:val="nil"/>
                    <w:tr2bl w:val="nil"/>
                  </w:tcBorders>
                  <w:noWrap w:val="0"/>
                  <w:vAlign w:val="center"/>
                </w:tcPr>
                <w:p w14:paraId="217F7986">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300</w:t>
                  </w:r>
                </w:p>
              </w:tc>
              <w:tc>
                <w:tcPr>
                  <w:tcW w:w="2023" w:type="dxa"/>
                  <w:tcBorders>
                    <w:tl2br w:val="nil"/>
                    <w:tr2bl w:val="nil"/>
                  </w:tcBorders>
                  <w:noWrap w:val="0"/>
                  <w:vAlign w:val="center"/>
                </w:tcPr>
                <w:p w14:paraId="65ED8CA2">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300</w:t>
                  </w:r>
                </w:p>
              </w:tc>
              <w:tc>
                <w:tcPr>
                  <w:tcW w:w="1755" w:type="dxa"/>
                  <w:tcBorders>
                    <w:tl2br w:val="nil"/>
                    <w:tr2bl w:val="nil"/>
                  </w:tcBorders>
                  <w:noWrap w:val="0"/>
                  <w:vAlign w:val="center"/>
                </w:tcPr>
                <w:p w14:paraId="488E11E4">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lang w:val="en-US" w:eastAsia="zh-CN"/>
                    </w:rPr>
                    <w:t>300</w:t>
                  </w:r>
                </w:p>
              </w:tc>
            </w:tr>
            <w:tr w14:paraId="5C6A3A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3" w:hRule="atLeast"/>
                <w:jc w:val="center"/>
              </w:trPr>
              <w:tc>
                <w:tcPr>
                  <w:tcW w:w="2236" w:type="dxa"/>
                  <w:tcBorders>
                    <w:tl2br w:val="nil"/>
                    <w:tr2bl w:val="nil"/>
                  </w:tcBorders>
                  <w:noWrap w:val="0"/>
                  <w:vAlign w:val="center"/>
                </w:tcPr>
                <w:p w14:paraId="6D4DC685">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GB"/>
                    </w:rPr>
                  </w:pPr>
                  <w:r>
                    <w:rPr>
                      <w:rFonts w:hint="default" w:ascii="Times New Roman" w:hAnsi="Times New Roman" w:eastAsia="宋体" w:cs="Times New Roman"/>
                      <w:color w:val="000000"/>
                      <w:sz w:val="18"/>
                      <w:szCs w:val="18"/>
                      <w:highlight w:val="none"/>
                      <w:lang w:val="en-GB"/>
                    </w:rPr>
                    <w:t>悬浮物（SS）</w:t>
                  </w:r>
                </w:p>
              </w:tc>
              <w:tc>
                <w:tcPr>
                  <w:tcW w:w="2144" w:type="dxa"/>
                  <w:tcBorders>
                    <w:tl2br w:val="nil"/>
                    <w:tr2bl w:val="nil"/>
                  </w:tcBorders>
                  <w:noWrap w:val="0"/>
                  <w:vAlign w:val="center"/>
                </w:tcPr>
                <w:p w14:paraId="42CEA524">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GB"/>
                    </w:rPr>
                    <w:t>400</w:t>
                  </w:r>
                </w:p>
              </w:tc>
              <w:tc>
                <w:tcPr>
                  <w:tcW w:w="2023" w:type="dxa"/>
                  <w:tcBorders>
                    <w:tl2br w:val="nil"/>
                    <w:tr2bl w:val="nil"/>
                  </w:tcBorders>
                  <w:noWrap w:val="0"/>
                  <w:vAlign w:val="center"/>
                </w:tcPr>
                <w:p w14:paraId="63255A18">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400</w:t>
                  </w:r>
                </w:p>
              </w:tc>
              <w:tc>
                <w:tcPr>
                  <w:tcW w:w="1755" w:type="dxa"/>
                  <w:tcBorders>
                    <w:tl2br w:val="nil"/>
                    <w:tr2bl w:val="nil"/>
                  </w:tcBorders>
                  <w:noWrap w:val="0"/>
                  <w:vAlign w:val="center"/>
                </w:tcPr>
                <w:p w14:paraId="46EE1A5A">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GB" w:eastAsia="zh-CN" w:bidi="ar-SA"/>
                    </w:rPr>
                  </w:pPr>
                  <w:r>
                    <w:rPr>
                      <w:rFonts w:hint="default" w:ascii="Times New Roman" w:hAnsi="Times New Roman" w:eastAsia="宋体" w:cs="Times New Roman"/>
                      <w:color w:val="000000"/>
                      <w:sz w:val="18"/>
                      <w:szCs w:val="18"/>
                      <w:highlight w:val="none"/>
                      <w:lang w:val="en-US" w:eastAsia="zh-CN"/>
                    </w:rPr>
                    <w:t>400</w:t>
                  </w:r>
                </w:p>
              </w:tc>
            </w:tr>
            <w:tr w14:paraId="702D0F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3" w:hRule="atLeast"/>
                <w:jc w:val="center"/>
              </w:trPr>
              <w:tc>
                <w:tcPr>
                  <w:tcW w:w="2236" w:type="dxa"/>
                  <w:tcBorders>
                    <w:tl2br w:val="nil"/>
                    <w:tr2bl w:val="nil"/>
                  </w:tcBorders>
                  <w:noWrap w:val="0"/>
                  <w:vAlign w:val="center"/>
                </w:tcPr>
                <w:p w14:paraId="4953C015">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GB"/>
                    </w:rPr>
                  </w:pPr>
                  <w:r>
                    <w:rPr>
                      <w:rFonts w:hint="default" w:ascii="Times New Roman" w:hAnsi="Times New Roman" w:eastAsia="宋体" w:cs="Times New Roman"/>
                      <w:color w:val="000000"/>
                      <w:sz w:val="18"/>
                      <w:szCs w:val="18"/>
                      <w:highlight w:val="none"/>
                      <w:lang w:val="en-GB"/>
                    </w:rPr>
                    <w:t>氨氮</w:t>
                  </w:r>
                </w:p>
              </w:tc>
              <w:tc>
                <w:tcPr>
                  <w:tcW w:w="2144" w:type="dxa"/>
                  <w:tcBorders>
                    <w:tl2br w:val="nil"/>
                    <w:tr2bl w:val="nil"/>
                  </w:tcBorders>
                  <w:noWrap w:val="0"/>
                  <w:vAlign w:val="center"/>
                </w:tcPr>
                <w:p w14:paraId="51934547">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rPr>
                    <w:t>--</w:t>
                  </w:r>
                </w:p>
              </w:tc>
              <w:tc>
                <w:tcPr>
                  <w:tcW w:w="2023" w:type="dxa"/>
                  <w:tcBorders>
                    <w:tl2br w:val="nil"/>
                    <w:tr2bl w:val="nil"/>
                  </w:tcBorders>
                  <w:noWrap w:val="0"/>
                  <w:vAlign w:val="center"/>
                </w:tcPr>
                <w:p w14:paraId="7BBD07BD">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25</w:t>
                  </w:r>
                </w:p>
              </w:tc>
              <w:tc>
                <w:tcPr>
                  <w:tcW w:w="1755" w:type="dxa"/>
                  <w:tcBorders>
                    <w:tl2br w:val="nil"/>
                    <w:tr2bl w:val="nil"/>
                  </w:tcBorders>
                  <w:noWrap w:val="0"/>
                  <w:vAlign w:val="center"/>
                </w:tcPr>
                <w:p w14:paraId="2B0994F0">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lang w:val="en-US" w:eastAsia="zh-CN"/>
                    </w:rPr>
                    <w:t>25</w:t>
                  </w:r>
                </w:p>
              </w:tc>
            </w:tr>
            <w:tr w14:paraId="7D1DCA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403" w:hRule="atLeast"/>
                <w:jc w:val="center"/>
              </w:trPr>
              <w:tc>
                <w:tcPr>
                  <w:tcW w:w="2236" w:type="dxa"/>
                  <w:tcBorders>
                    <w:tl2br w:val="nil"/>
                    <w:tr2bl w:val="nil"/>
                  </w:tcBorders>
                  <w:noWrap w:val="0"/>
                  <w:vAlign w:val="center"/>
                </w:tcPr>
                <w:p w14:paraId="463689E7">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pH</w:t>
                  </w:r>
                </w:p>
              </w:tc>
              <w:tc>
                <w:tcPr>
                  <w:tcW w:w="2144" w:type="dxa"/>
                  <w:tcBorders>
                    <w:tl2br w:val="nil"/>
                    <w:tr2bl w:val="nil"/>
                  </w:tcBorders>
                  <w:noWrap w:val="0"/>
                  <w:vAlign w:val="center"/>
                </w:tcPr>
                <w:p w14:paraId="11B033B1">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6-9</w:t>
                  </w:r>
                </w:p>
              </w:tc>
              <w:tc>
                <w:tcPr>
                  <w:tcW w:w="2023" w:type="dxa"/>
                  <w:tcBorders>
                    <w:tl2br w:val="nil"/>
                    <w:tr2bl w:val="nil"/>
                  </w:tcBorders>
                  <w:noWrap w:val="0"/>
                  <w:vAlign w:val="center"/>
                </w:tcPr>
                <w:p w14:paraId="72683AF0">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sz w:val="18"/>
                      <w:szCs w:val="18"/>
                      <w:highlight w:val="none"/>
                      <w:lang w:val="en-US" w:eastAsia="zh-CN"/>
                    </w:rPr>
                  </w:pPr>
                  <w:r>
                    <w:rPr>
                      <w:rFonts w:hint="default" w:ascii="Times New Roman" w:hAnsi="Times New Roman" w:eastAsia="宋体" w:cs="Times New Roman"/>
                      <w:color w:val="000000"/>
                      <w:sz w:val="18"/>
                      <w:szCs w:val="18"/>
                      <w:highlight w:val="none"/>
                      <w:lang w:val="en-US" w:eastAsia="zh-CN"/>
                    </w:rPr>
                    <w:t>6-9</w:t>
                  </w:r>
                </w:p>
              </w:tc>
              <w:tc>
                <w:tcPr>
                  <w:tcW w:w="1755" w:type="dxa"/>
                  <w:tcBorders>
                    <w:tl2br w:val="nil"/>
                    <w:tr2bl w:val="nil"/>
                  </w:tcBorders>
                  <w:noWrap w:val="0"/>
                  <w:vAlign w:val="center"/>
                </w:tcPr>
                <w:p w14:paraId="66B2B516">
                  <w:pPr>
                    <w:keepNext w:val="0"/>
                    <w:keepLines w:val="0"/>
                    <w:pageBreakBefore w:val="0"/>
                    <w:widowControl w:val="0"/>
                    <w:kinsoku/>
                    <w:wordWrap/>
                    <w:overflowPunct/>
                    <w:topLinePunct w:val="0"/>
                    <w:autoSpaceDE w:val="0"/>
                    <w:autoSpaceDN w:val="0"/>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18"/>
                      <w:szCs w:val="18"/>
                      <w:highlight w:val="none"/>
                      <w:lang w:val="en-US" w:eastAsia="zh-CN" w:bidi="ar-SA"/>
                    </w:rPr>
                  </w:pPr>
                  <w:r>
                    <w:rPr>
                      <w:rFonts w:hint="default" w:ascii="Times New Roman" w:hAnsi="Times New Roman" w:eastAsia="宋体" w:cs="Times New Roman"/>
                      <w:color w:val="000000"/>
                      <w:sz w:val="18"/>
                      <w:szCs w:val="18"/>
                      <w:highlight w:val="none"/>
                      <w:lang w:val="en-US" w:eastAsia="zh-CN"/>
                    </w:rPr>
                    <w:t>6-9</w:t>
                  </w:r>
                </w:p>
              </w:tc>
            </w:tr>
          </w:tbl>
          <w:p w14:paraId="43EF4A0D">
            <w:pPr>
              <w:pStyle w:val="5"/>
              <w:rPr>
                <w:rFonts w:hint="default" w:ascii="Times New Roman" w:hAnsi="Times New Roman" w:cs="Times New Roman"/>
                <w:highlight w:val="none"/>
              </w:rPr>
            </w:pPr>
          </w:p>
          <w:p w14:paraId="488B5835">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3、噪声</w:t>
            </w:r>
          </w:p>
          <w:p w14:paraId="28A2DE62">
            <w:pPr>
              <w:adjustRightInd w:val="0"/>
              <w:spacing w:line="360" w:lineRule="auto"/>
              <w:ind w:firstLine="420" w:firstLineChars="200"/>
              <w:jc w:val="left"/>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本项目</w:t>
            </w:r>
            <w:r>
              <w:rPr>
                <w:rFonts w:hint="default" w:ascii="Times New Roman" w:hAnsi="Times New Roman" w:cs="Times New Roman"/>
                <w:color w:val="auto"/>
                <w:kern w:val="0"/>
                <w:szCs w:val="21"/>
                <w:highlight w:val="none"/>
              </w:rPr>
              <w:t>厂界噪声</w:t>
            </w:r>
            <w:r>
              <w:rPr>
                <w:rFonts w:hint="default" w:ascii="Times New Roman" w:hAnsi="Times New Roman" w:cs="Times New Roman"/>
                <w:color w:val="auto"/>
                <w:kern w:val="0"/>
                <w:szCs w:val="21"/>
                <w:highlight w:val="none"/>
                <w:lang w:eastAsia="zh-CN"/>
              </w:rPr>
              <w:t>执行</w:t>
            </w:r>
            <w:r>
              <w:rPr>
                <w:rFonts w:hint="default" w:ascii="Times New Roman" w:hAnsi="Times New Roman" w:cs="Times New Roman"/>
                <w:color w:val="auto"/>
                <w:kern w:val="0"/>
                <w:szCs w:val="21"/>
                <w:highlight w:val="none"/>
              </w:rPr>
              <w:t>《工业企业厂界环境噪声排放标准》（GB12348-2008）中的2类标准，</w:t>
            </w:r>
            <w:r>
              <w:rPr>
                <w:rFonts w:hint="default" w:ascii="Times New Roman" w:hAnsi="Times New Roman" w:cs="Times New Roman"/>
                <w:color w:val="auto"/>
                <w:kern w:val="0"/>
                <w:szCs w:val="21"/>
                <w:highlight w:val="none"/>
                <w:lang w:eastAsia="zh-CN"/>
              </w:rPr>
              <w:t>敏感点执行</w:t>
            </w:r>
            <w:r>
              <w:rPr>
                <w:rFonts w:hint="default" w:ascii="Times New Roman" w:hAnsi="Times New Roman" w:cs="Times New Roman"/>
                <w:bCs/>
                <w:color w:val="auto"/>
                <w:szCs w:val="21"/>
                <w:highlight w:val="none"/>
              </w:rPr>
              <w:t>《声环境质量标准》（GB3096-2008）中2类标准限值要求</w:t>
            </w:r>
            <w:r>
              <w:rPr>
                <w:rFonts w:hint="default" w:ascii="Times New Roman" w:hAnsi="Times New Roman" w:cs="Times New Roman"/>
                <w:bCs/>
                <w:color w:val="auto"/>
                <w:szCs w:val="21"/>
                <w:highlight w:val="none"/>
                <w:lang w:eastAsia="zh-CN"/>
              </w:rPr>
              <w:t>，</w:t>
            </w:r>
            <w:r>
              <w:rPr>
                <w:rFonts w:hint="default" w:ascii="Times New Roman" w:hAnsi="Times New Roman" w:cs="Times New Roman"/>
                <w:color w:val="auto"/>
                <w:kern w:val="0"/>
                <w:szCs w:val="21"/>
                <w:highlight w:val="none"/>
              </w:rPr>
              <w:t>标准值见表3</w:t>
            </w:r>
            <w:r>
              <w:rPr>
                <w:rFonts w:hint="default" w:ascii="Times New Roman" w:hAnsi="Times New Roman" w:cs="Times New Roman"/>
                <w:color w:val="auto"/>
                <w:kern w:val="0"/>
                <w:szCs w:val="21"/>
                <w:highlight w:val="none"/>
                <w:lang w:val="en-US" w:eastAsia="zh-CN"/>
              </w:rPr>
              <w:t>-7</w:t>
            </w:r>
            <w:r>
              <w:rPr>
                <w:rFonts w:hint="default" w:ascii="Times New Roman" w:hAnsi="Times New Roman" w:cs="Times New Roman"/>
                <w:color w:val="auto"/>
                <w:kern w:val="0"/>
                <w:szCs w:val="21"/>
                <w:highlight w:val="none"/>
              </w:rPr>
              <w:t>。</w:t>
            </w:r>
            <w:bookmarkStart w:id="7" w:name="_Ref196743448"/>
          </w:p>
          <w:p w14:paraId="5EDDB1F8">
            <w:pPr>
              <w:adjustRightInd w:val="0"/>
              <w:snapToGrid w:val="0"/>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表</w:t>
            </w:r>
            <w:bookmarkEnd w:id="7"/>
            <w:r>
              <w:rPr>
                <w:rFonts w:hint="default" w:ascii="Times New Roman" w:hAnsi="Times New Roman" w:cs="Times New Roman"/>
                <w:b/>
                <w:bCs/>
                <w:color w:val="auto"/>
                <w:kern w:val="0"/>
                <w:szCs w:val="21"/>
                <w:highlight w:val="none"/>
              </w:rPr>
              <w:t>3-</w:t>
            </w:r>
            <w:r>
              <w:rPr>
                <w:rFonts w:hint="default" w:ascii="Times New Roman" w:hAnsi="Times New Roman" w:cs="Times New Roman"/>
                <w:b/>
                <w:bCs/>
                <w:color w:val="auto"/>
                <w:kern w:val="0"/>
                <w:szCs w:val="21"/>
                <w:highlight w:val="none"/>
                <w:lang w:val="en-US" w:eastAsia="zh-CN"/>
              </w:rPr>
              <w:t>7</w:t>
            </w:r>
            <w:r>
              <w:rPr>
                <w:rFonts w:hint="default" w:ascii="Times New Roman" w:hAnsi="Times New Roman" w:cs="Times New Roman"/>
                <w:b/>
                <w:bCs/>
                <w:color w:val="auto"/>
                <w:kern w:val="0"/>
                <w:szCs w:val="21"/>
                <w:highlight w:val="none"/>
              </w:rPr>
              <w:t xml:space="preserve">  工业企业厂界环境噪声排放标准  单位：dB（A）</w:t>
            </w:r>
          </w:p>
          <w:tbl>
            <w:tblPr>
              <w:tblStyle w:val="13"/>
              <w:tblW w:w="5000" w:type="pct"/>
              <w:jc w:val="center"/>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790"/>
              <w:gridCol w:w="2774"/>
              <w:gridCol w:w="2774"/>
            </w:tblGrid>
            <w:tr w14:paraId="32AA8A2E">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07" w:type="dxa"/>
                  <w:vMerge w:val="restart"/>
                  <w:noWrap w:val="0"/>
                  <w:tcMar>
                    <w:top w:w="17" w:type="dxa"/>
                    <w:left w:w="17" w:type="dxa"/>
                    <w:bottom w:w="0" w:type="dxa"/>
                    <w:right w:w="17" w:type="dxa"/>
                  </w:tcMar>
                  <w:vAlign w:val="center"/>
                </w:tcPr>
                <w:p w14:paraId="4E74340A">
                  <w:pPr>
                    <w:adjustRightInd w:val="0"/>
                    <w:snapToGrid w:val="0"/>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标准</w:t>
                  </w:r>
                </w:p>
              </w:tc>
              <w:tc>
                <w:tcPr>
                  <w:tcW w:w="5614" w:type="dxa"/>
                  <w:gridSpan w:val="2"/>
                  <w:noWrap w:val="0"/>
                  <w:tcMar>
                    <w:top w:w="17" w:type="dxa"/>
                    <w:left w:w="17" w:type="dxa"/>
                    <w:bottom w:w="0" w:type="dxa"/>
                    <w:right w:w="17" w:type="dxa"/>
                  </w:tcMar>
                  <w:vAlign w:val="center"/>
                </w:tcPr>
                <w:p w14:paraId="23293F10">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标准值</w:t>
                  </w:r>
                </w:p>
              </w:tc>
            </w:tr>
            <w:tr w14:paraId="1186E677">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21" w:hRule="atLeast"/>
                <w:jc w:val="center"/>
              </w:trPr>
              <w:tc>
                <w:tcPr>
                  <w:tcW w:w="2807" w:type="dxa"/>
                  <w:vMerge w:val="continue"/>
                  <w:noWrap w:val="0"/>
                  <w:vAlign w:val="center"/>
                </w:tcPr>
                <w:p w14:paraId="18A01135">
                  <w:pPr>
                    <w:adjustRightInd w:val="0"/>
                    <w:snapToGrid w:val="0"/>
                    <w:jc w:val="center"/>
                    <w:rPr>
                      <w:rFonts w:hint="default" w:ascii="Times New Roman" w:hAnsi="Times New Roman" w:cs="Times New Roman"/>
                      <w:color w:val="auto"/>
                      <w:kern w:val="0"/>
                      <w:sz w:val="18"/>
                      <w:szCs w:val="18"/>
                      <w:highlight w:val="none"/>
                    </w:rPr>
                  </w:pPr>
                </w:p>
              </w:tc>
              <w:tc>
                <w:tcPr>
                  <w:tcW w:w="2807" w:type="dxa"/>
                  <w:noWrap w:val="0"/>
                  <w:tcMar>
                    <w:top w:w="17" w:type="dxa"/>
                    <w:left w:w="17" w:type="dxa"/>
                    <w:bottom w:w="0" w:type="dxa"/>
                    <w:right w:w="17" w:type="dxa"/>
                  </w:tcMar>
                  <w:vAlign w:val="center"/>
                </w:tcPr>
                <w:p w14:paraId="115BAAA9">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昼间</w:t>
                  </w:r>
                </w:p>
              </w:tc>
              <w:tc>
                <w:tcPr>
                  <w:tcW w:w="2807" w:type="dxa"/>
                  <w:noWrap w:val="0"/>
                  <w:tcMar>
                    <w:top w:w="17" w:type="dxa"/>
                    <w:left w:w="17" w:type="dxa"/>
                    <w:bottom w:w="0" w:type="dxa"/>
                    <w:right w:w="17" w:type="dxa"/>
                  </w:tcMar>
                  <w:vAlign w:val="center"/>
                </w:tcPr>
                <w:p w14:paraId="15B3ADE7">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夜间</w:t>
                  </w:r>
                </w:p>
              </w:tc>
            </w:tr>
            <w:tr w14:paraId="5B01800D">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07" w:type="dxa"/>
                  <w:noWrap w:val="0"/>
                  <w:vAlign w:val="center"/>
                </w:tcPr>
                <w:p w14:paraId="6F8557C2">
                  <w:pPr>
                    <w:adjustRightInd w:val="0"/>
                    <w:snapToGrid w:val="0"/>
                    <w:jc w:val="center"/>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rPr>
                    <w:t>《工业企业厂界环境噪声排放标准》（GB12348-2008）中的2类</w:t>
                  </w:r>
                  <w:r>
                    <w:rPr>
                      <w:rFonts w:hint="default" w:ascii="Times New Roman" w:hAnsi="Times New Roman" w:cs="Times New Roman"/>
                      <w:color w:val="auto"/>
                      <w:kern w:val="0"/>
                      <w:sz w:val="18"/>
                      <w:szCs w:val="18"/>
                      <w:highlight w:val="none"/>
                      <w:lang w:eastAsia="zh-CN"/>
                    </w:rPr>
                    <w:t>标准</w:t>
                  </w:r>
                </w:p>
              </w:tc>
              <w:tc>
                <w:tcPr>
                  <w:tcW w:w="2807" w:type="dxa"/>
                  <w:noWrap w:val="0"/>
                  <w:tcMar>
                    <w:top w:w="17" w:type="dxa"/>
                    <w:left w:w="17" w:type="dxa"/>
                    <w:bottom w:w="0" w:type="dxa"/>
                    <w:right w:w="17" w:type="dxa"/>
                  </w:tcMar>
                  <w:vAlign w:val="center"/>
                </w:tcPr>
                <w:p w14:paraId="2B3C5184">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60</w:t>
                  </w:r>
                </w:p>
              </w:tc>
              <w:tc>
                <w:tcPr>
                  <w:tcW w:w="2807" w:type="dxa"/>
                  <w:noWrap w:val="0"/>
                  <w:tcMar>
                    <w:top w:w="17" w:type="dxa"/>
                    <w:left w:w="17" w:type="dxa"/>
                    <w:bottom w:w="0" w:type="dxa"/>
                    <w:right w:w="17" w:type="dxa"/>
                  </w:tcMar>
                  <w:vAlign w:val="center"/>
                </w:tcPr>
                <w:p w14:paraId="17725AFB">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50</w:t>
                  </w:r>
                </w:p>
              </w:tc>
            </w:tr>
            <w:tr w14:paraId="04F15910">
              <w:tblPrEx>
                <w:tblBorders>
                  <w:top w:val="single" w:color="auto" w:sz="8" w:space="0"/>
                  <w:left w:val="none" w:color="auto" w:sz="0" w:space="0"/>
                  <w:bottom w:val="single" w:color="auto" w:sz="8"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807" w:type="dxa"/>
                  <w:noWrap w:val="0"/>
                  <w:vAlign w:val="center"/>
                </w:tcPr>
                <w:p w14:paraId="4181BCAE">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《声环境质量标准》（GB3096-2008）中2类标准</w:t>
                  </w:r>
                </w:p>
              </w:tc>
              <w:tc>
                <w:tcPr>
                  <w:tcW w:w="2807" w:type="dxa"/>
                  <w:noWrap w:val="0"/>
                  <w:tcMar>
                    <w:top w:w="17" w:type="dxa"/>
                    <w:left w:w="17" w:type="dxa"/>
                    <w:bottom w:w="0" w:type="dxa"/>
                    <w:right w:w="17" w:type="dxa"/>
                  </w:tcMar>
                  <w:vAlign w:val="center"/>
                </w:tcPr>
                <w:p w14:paraId="3BD57331">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60</w:t>
                  </w:r>
                </w:p>
              </w:tc>
              <w:tc>
                <w:tcPr>
                  <w:tcW w:w="2807" w:type="dxa"/>
                  <w:noWrap w:val="0"/>
                  <w:tcMar>
                    <w:top w:w="17" w:type="dxa"/>
                    <w:left w:w="17" w:type="dxa"/>
                    <w:bottom w:w="0" w:type="dxa"/>
                    <w:right w:w="17" w:type="dxa"/>
                  </w:tcMar>
                  <w:vAlign w:val="center"/>
                </w:tcPr>
                <w:p w14:paraId="44247545">
                  <w:pPr>
                    <w:adjustRightInd w:val="0"/>
                    <w:snapToGrid w:val="0"/>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50</w:t>
                  </w:r>
                </w:p>
              </w:tc>
            </w:tr>
          </w:tbl>
          <w:p w14:paraId="31846254">
            <w:pPr>
              <w:adjustRightInd w:val="0"/>
              <w:snapToGrid w:val="0"/>
              <w:ind w:firstLine="420" w:firstLineChars="200"/>
              <w:rPr>
                <w:rFonts w:hint="default" w:ascii="Times New Roman" w:hAnsi="Times New Roman" w:cs="Times New Roman"/>
                <w:color w:val="auto"/>
                <w:kern w:val="0"/>
                <w:szCs w:val="21"/>
                <w:highlight w:val="none"/>
              </w:rPr>
            </w:pPr>
          </w:p>
          <w:p w14:paraId="22D3C9B2">
            <w:pPr>
              <w:adjustRightInd w:val="0"/>
              <w:snapToGrid w:val="0"/>
              <w:spacing w:line="360" w:lineRule="auto"/>
              <w:ind w:firstLine="42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4、固体废物</w:t>
            </w:r>
          </w:p>
          <w:p w14:paraId="54FD012E">
            <w:pPr>
              <w:adjustRightInd w:val="0"/>
              <w:snapToGrid w:val="0"/>
              <w:spacing w:line="360" w:lineRule="auto"/>
              <w:ind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一般固体废物执行《</w:t>
            </w:r>
            <w:r>
              <w:rPr>
                <w:rFonts w:hint="default" w:ascii="Times New Roman" w:hAnsi="Times New Roman" w:cs="Times New Roman"/>
                <w:color w:val="auto"/>
                <w:kern w:val="0"/>
                <w:szCs w:val="21"/>
                <w:highlight w:val="none"/>
              </w:rPr>
              <w:t>一般固体废物分类与代码</w:t>
            </w:r>
            <w:r>
              <w:rPr>
                <w:rFonts w:hint="default" w:ascii="Times New Roman" w:hAnsi="Times New Roman" w:cs="Times New Roman"/>
                <w:color w:val="auto"/>
                <w:kern w:val="0"/>
                <w:szCs w:val="21"/>
                <w:highlight w:val="none"/>
              </w:rPr>
              <w:t>》（GB/T39198-2020）的相关规定。</w:t>
            </w:r>
          </w:p>
        </w:tc>
      </w:tr>
      <w:tr w14:paraId="407B3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6A771A9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w:t>
            </w:r>
          </w:p>
          <w:p w14:paraId="4150930F">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控制</w:t>
            </w:r>
          </w:p>
          <w:p w14:paraId="1E4B424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指标</w:t>
            </w:r>
          </w:p>
        </w:tc>
        <w:tc>
          <w:tcPr>
            <w:tcW w:w="8190" w:type="dxa"/>
            <w:noWrap w:val="0"/>
            <w:vAlign w:val="center"/>
          </w:tcPr>
          <w:p w14:paraId="7A4E3070">
            <w:pPr>
              <w:tabs>
                <w:tab w:val="left" w:pos="5046"/>
              </w:tabs>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表3-</w:t>
            </w:r>
            <w:r>
              <w:rPr>
                <w:rFonts w:hint="default" w:ascii="Times New Roman" w:hAnsi="Times New Roman" w:cs="Times New Roman"/>
                <w:b/>
                <w:sz w:val="21"/>
                <w:szCs w:val="21"/>
                <w:highlight w:val="none"/>
                <w:lang w:val="en-US" w:eastAsia="zh-CN"/>
              </w:rPr>
              <w:t>9</w:t>
            </w:r>
            <w:r>
              <w:rPr>
                <w:rFonts w:hint="default" w:ascii="Times New Roman" w:hAnsi="Times New Roman" w:cs="Times New Roman"/>
                <w:b/>
                <w:sz w:val="21"/>
                <w:szCs w:val="21"/>
                <w:highlight w:val="none"/>
                <w:lang w:eastAsia="zh-CN"/>
              </w:rPr>
              <w:t>核定排放量</w:t>
            </w:r>
            <w:r>
              <w:rPr>
                <w:rFonts w:hint="default" w:ascii="Times New Roman" w:hAnsi="Times New Roman" w:cs="Times New Roman"/>
                <w:b/>
                <w:sz w:val="21"/>
                <w:szCs w:val="21"/>
                <w:highlight w:val="none"/>
              </w:rPr>
              <w:t xml:space="preserve">  单位：t/a</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0"/>
              <w:gridCol w:w="3640"/>
              <w:gridCol w:w="2545"/>
            </w:tblGrid>
            <w:tr w14:paraId="54063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289" w:type="pct"/>
                  <w:tcBorders>
                    <w:top w:val="single" w:color="auto" w:sz="12" w:space="0"/>
                    <w:left w:val="nil"/>
                    <w:bottom w:val="single" w:color="auto" w:sz="4" w:space="0"/>
                    <w:right w:val="single" w:color="auto" w:sz="4" w:space="0"/>
                  </w:tcBorders>
                  <w:noWrap w:val="0"/>
                  <w:vAlign w:val="center"/>
                </w:tcPr>
                <w:p w14:paraId="4BC1AC77">
                  <w:pPr>
                    <w:keepNext w:val="0"/>
                    <w:keepLines w:val="0"/>
                    <w:pageBreakBefore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名称</w:t>
                  </w:r>
                </w:p>
              </w:tc>
              <w:tc>
                <w:tcPr>
                  <w:tcW w:w="2183" w:type="pct"/>
                  <w:tcBorders>
                    <w:top w:val="single" w:color="auto" w:sz="12" w:space="0"/>
                    <w:left w:val="single" w:color="auto" w:sz="4" w:space="0"/>
                    <w:bottom w:val="single" w:color="auto" w:sz="4" w:space="0"/>
                    <w:right w:val="nil"/>
                  </w:tcBorders>
                  <w:noWrap w:val="0"/>
                  <w:vAlign w:val="center"/>
                </w:tcPr>
                <w:p w14:paraId="1DBC32C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cs="Times New Roman"/>
                      <w:color w:val="auto"/>
                      <w:kern w:val="0"/>
                      <w:sz w:val="18"/>
                      <w:szCs w:val="18"/>
                      <w:highlight w:val="none"/>
                    </w:rPr>
                  </w:pPr>
                  <w:r>
                    <w:rPr>
                      <w:rFonts w:hint="default" w:ascii="Times New Roman" w:hAnsi="Times New Roman" w:cs="Times New Roman"/>
                      <w:kern w:val="0"/>
                      <w:sz w:val="18"/>
                      <w:szCs w:val="18"/>
                      <w:highlight w:val="none"/>
                      <w:lang w:eastAsia="zh-CN"/>
                    </w:rPr>
                    <w:t>拟建项目</w:t>
                  </w:r>
                  <w:r>
                    <w:rPr>
                      <w:rFonts w:hint="default" w:ascii="Times New Roman" w:hAnsi="Times New Roman" w:cs="Times New Roman"/>
                      <w:kern w:val="0"/>
                      <w:sz w:val="18"/>
                      <w:szCs w:val="18"/>
                      <w:highlight w:val="none"/>
                    </w:rPr>
                    <w:t>污染物</w:t>
                  </w:r>
                  <w:r>
                    <w:rPr>
                      <w:rFonts w:hint="default" w:ascii="Times New Roman" w:hAnsi="Times New Roman" w:cs="Times New Roman"/>
                      <w:kern w:val="0"/>
                      <w:sz w:val="18"/>
                      <w:szCs w:val="18"/>
                      <w:highlight w:val="none"/>
                      <w:lang w:eastAsia="zh-CN"/>
                    </w:rPr>
                    <w:t>排放</w:t>
                  </w:r>
                </w:p>
              </w:tc>
              <w:tc>
                <w:tcPr>
                  <w:tcW w:w="1526" w:type="pct"/>
                  <w:tcBorders>
                    <w:top w:val="single" w:color="auto" w:sz="12" w:space="0"/>
                    <w:left w:val="single" w:color="auto" w:sz="4" w:space="0"/>
                    <w:bottom w:val="single" w:color="auto" w:sz="4" w:space="0"/>
                    <w:right w:val="nil"/>
                  </w:tcBorders>
                  <w:noWrap w:val="0"/>
                  <w:vAlign w:val="center"/>
                </w:tcPr>
                <w:p w14:paraId="2E93680D">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cs="Times New Roman"/>
                      <w:kern w:val="0"/>
                      <w:sz w:val="18"/>
                      <w:szCs w:val="18"/>
                      <w:highlight w:val="none"/>
                      <w:lang w:eastAsia="zh-CN"/>
                    </w:rPr>
                  </w:pPr>
                  <w:r>
                    <w:rPr>
                      <w:rFonts w:hint="default" w:ascii="Times New Roman" w:hAnsi="Times New Roman" w:cs="Times New Roman"/>
                      <w:kern w:val="0"/>
                      <w:sz w:val="18"/>
                      <w:szCs w:val="18"/>
                      <w:highlight w:val="none"/>
                      <w:lang w:eastAsia="zh-CN"/>
                    </w:rPr>
                    <w:t>核定排放量</w:t>
                  </w:r>
                </w:p>
              </w:tc>
            </w:tr>
            <w:tr w14:paraId="415DA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pct"/>
                  <w:tcBorders>
                    <w:top w:val="single" w:color="auto" w:sz="4" w:space="0"/>
                    <w:left w:val="nil"/>
                    <w:bottom w:val="single" w:color="auto" w:sz="4" w:space="0"/>
                    <w:right w:val="single" w:color="auto" w:sz="4" w:space="0"/>
                  </w:tcBorders>
                  <w:noWrap w:val="0"/>
                  <w:vAlign w:val="center"/>
                </w:tcPr>
                <w:p w14:paraId="119183BA">
                  <w:pPr>
                    <w:keepNext w:val="0"/>
                    <w:keepLines w:val="0"/>
                    <w:pageBreakBefore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颗粒物</w:t>
                  </w:r>
                </w:p>
              </w:tc>
              <w:tc>
                <w:tcPr>
                  <w:tcW w:w="2183" w:type="pct"/>
                  <w:tcBorders>
                    <w:top w:val="single" w:color="auto" w:sz="4" w:space="0"/>
                    <w:left w:val="single" w:color="auto" w:sz="4" w:space="0"/>
                    <w:bottom w:val="single" w:color="auto" w:sz="4" w:space="0"/>
                    <w:right w:val="nil"/>
                  </w:tcBorders>
                  <w:noWrap w:val="0"/>
                  <w:vAlign w:val="center"/>
                </w:tcPr>
                <w:p w14:paraId="6A72534D">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0.053</w:t>
                  </w:r>
                </w:p>
              </w:tc>
              <w:tc>
                <w:tcPr>
                  <w:tcW w:w="2570" w:type="dxa"/>
                  <w:tcBorders>
                    <w:top w:val="single" w:color="auto" w:sz="4" w:space="0"/>
                    <w:left w:val="single" w:color="auto" w:sz="4" w:space="0"/>
                    <w:bottom w:val="single" w:color="auto" w:sz="4" w:space="0"/>
                    <w:right w:val="nil"/>
                  </w:tcBorders>
                  <w:noWrap w:val="0"/>
                  <w:vAlign w:val="center"/>
                </w:tcPr>
                <w:p w14:paraId="2D905E7E">
                  <w:pPr>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0.097</w:t>
                  </w:r>
                </w:p>
              </w:tc>
            </w:tr>
            <w:tr w14:paraId="77B90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9" w:type="pct"/>
                  <w:tcBorders>
                    <w:top w:val="single" w:color="auto" w:sz="4" w:space="0"/>
                    <w:left w:val="nil"/>
                    <w:bottom w:val="single" w:color="auto" w:sz="4" w:space="0"/>
                    <w:right w:val="single" w:color="auto" w:sz="4" w:space="0"/>
                  </w:tcBorders>
                  <w:noWrap w:val="0"/>
                  <w:vAlign w:val="center"/>
                </w:tcPr>
                <w:p w14:paraId="57DB08C2">
                  <w:pPr>
                    <w:keepNext w:val="0"/>
                    <w:keepLines w:val="0"/>
                    <w:pageBreakBefore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二氧化硫</w:t>
                  </w:r>
                </w:p>
              </w:tc>
              <w:tc>
                <w:tcPr>
                  <w:tcW w:w="2183" w:type="pct"/>
                  <w:tcBorders>
                    <w:top w:val="single" w:color="auto" w:sz="4" w:space="0"/>
                    <w:left w:val="single" w:color="auto" w:sz="4" w:space="0"/>
                    <w:bottom w:val="single" w:color="auto" w:sz="4" w:space="0"/>
                    <w:right w:val="nil"/>
                  </w:tcBorders>
                  <w:noWrap w:val="0"/>
                  <w:vAlign w:val="center"/>
                </w:tcPr>
                <w:p w14:paraId="06E0E5A8">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0.165</w:t>
                  </w:r>
                </w:p>
              </w:tc>
              <w:tc>
                <w:tcPr>
                  <w:tcW w:w="2570" w:type="dxa"/>
                  <w:tcBorders>
                    <w:top w:val="single" w:color="auto" w:sz="4" w:space="0"/>
                    <w:left w:val="single" w:color="auto" w:sz="4" w:space="0"/>
                    <w:bottom w:val="single" w:color="auto" w:sz="4" w:space="0"/>
                    <w:right w:val="nil"/>
                  </w:tcBorders>
                  <w:noWrap w:val="0"/>
                  <w:vAlign w:val="center"/>
                </w:tcPr>
                <w:p w14:paraId="2B1F8BEF">
                  <w:pPr>
                    <w:jc w:val="center"/>
                    <w:rPr>
                      <w:rFonts w:hint="default" w:ascii="Times New Roman" w:hAnsi="Times New Roman" w:eastAsia="宋体" w:cs="Times New Roman"/>
                      <w:kern w:val="0"/>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465</w:t>
                  </w:r>
                </w:p>
              </w:tc>
            </w:tr>
            <w:tr w14:paraId="0DAB7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9" w:type="pct"/>
                  <w:tcBorders>
                    <w:top w:val="single" w:color="auto" w:sz="4" w:space="0"/>
                    <w:left w:val="nil"/>
                    <w:bottom w:val="single" w:color="auto" w:sz="4" w:space="0"/>
                    <w:right w:val="single" w:color="auto" w:sz="4" w:space="0"/>
                  </w:tcBorders>
                  <w:noWrap w:val="0"/>
                  <w:vAlign w:val="center"/>
                </w:tcPr>
                <w:p w14:paraId="278F592A">
                  <w:pPr>
                    <w:keepNext w:val="0"/>
                    <w:keepLines w:val="0"/>
                    <w:pageBreakBefore w:val="0"/>
                    <w:kinsoku/>
                    <w:wordWrap/>
                    <w:overflowPunct/>
                    <w:topLinePunct w:val="0"/>
                    <w:bidi w:val="0"/>
                    <w:adjustRightInd w:val="0"/>
                    <w:snapToGrid w:val="0"/>
                    <w:spacing w:line="240" w:lineRule="auto"/>
                    <w:ind w:right="0"/>
                    <w:jc w:val="center"/>
                    <w:textAlignment w:val="auto"/>
                    <w:rPr>
                      <w:rFonts w:hint="default" w:ascii="Times New Roman" w:hAnsi="Times New Roman"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氮氧化物</w:t>
                  </w:r>
                </w:p>
              </w:tc>
              <w:tc>
                <w:tcPr>
                  <w:tcW w:w="2183" w:type="pct"/>
                  <w:tcBorders>
                    <w:top w:val="single" w:color="auto" w:sz="4" w:space="0"/>
                    <w:left w:val="single" w:color="auto" w:sz="4" w:space="0"/>
                    <w:bottom w:val="single" w:color="auto" w:sz="4" w:space="0"/>
                    <w:right w:val="nil"/>
                  </w:tcBorders>
                  <w:noWrap w:val="0"/>
                  <w:vAlign w:val="center"/>
                </w:tcPr>
                <w:p w14:paraId="6CF8E8AA">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cs="Times New Roman"/>
                      <w:kern w:val="0"/>
                      <w:sz w:val="18"/>
                      <w:szCs w:val="18"/>
                      <w:highlight w:val="none"/>
                      <w:lang w:val="en-US" w:eastAsia="zh-CN"/>
                    </w:rPr>
                    <w:t>0.313</w:t>
                  </w:r>
                </w:p>
              </w:tc>
              <w:tc>
                <w:tcPr>
                  <w:tcW w:w="2570" w:type="dxa"/>
                  <w:tcBorders>
                    <w:top w:val="single" w:color="auto" w:sz="4" w:space="0"/>
                    <w:left w:val="single" w:color="auto" w:sz="4" w:space="0"/>
                    <w:bottom w:val="single" w:color="auto" w:sz="4" w:space="0"/>
                    <w:right w:val="nil"/>
                  </w:tcBorders>
                  <w:noWrap w:val="0"/>
                  <w:vAlign w:val="center"/>
                </w:tcPr>
                <w:p w14:paraId="2BCFCE0E">
                  <w:pPr>
                    <w:jc w:val="center"/>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r>
                    <w:rPr>
                      <w:rFonts w:hint="default" w:ascii="Times New Roman" w:hAnsi="Times New Roman" w:cs="Times New Roman"/>
                      <w:color w:val="auto"/>
                      <w:sz w:val="18"/>
                      <w:szCs w:val="18"/>
                      <w:highlight w:val="none"/>
                      <w:lang w:val="en-US" w:eastAsia="zh-CN"/>
                    </w:rPr>
                    <w:t>81</w:t>
                  </w:r>
                </w:p>
              </w:tc>
            </w:tr>
            <w:tr w14:paraId="16E9B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9" w:type="pct"/>
                  <w:tcBorders>
                    <w:top w:val="single" w:color="auto" w:sz="4" w:space="0"/>
                    <w:left w:val="nil"/>
                    <w:bottom w:val="single" w:color="auto" w:sz="4" w:space="0"/>
                    <w:right w:val="single" w:color="auto" w:sz="4" w:space="0"/>
                  </w:tcBorders>
                  <w:noWrap w:val="0"/>
                  <w:vAlign w:val="center"/>
                </w:tcPr>
                <w:p w14:paraId="0B4D6E75">
                  <w:pPr>
                    <w:keepNext w:val="0"/>
                    <w:keepLines w:val="0"/>
                    <w:pageBreakBefore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COD</w:t>
                  </w:r>
                </w:p>
              </w:tc>
              <w:tc>
                <w:tcPr>
                  <w:tcW w:w="2183" w:type="pct"/>
                  <w:tcBorders>
                    <w:top w:val="single" w:color="auto" w:sz="4" w:space="0"/>
                    <w:left w:val="single" w:color="auto" w:sz="4" w:space="0"/>
                    <w:bottom w:val="single" w:color="auto" w:sz="4" w:space="0"/>
                    <w:right w:val="nil"/>
                  </w:tcBorders>
                  <w:noWrap w:val="0"/>
                  <w:vAlign w:val="center"/>
                </w:tcPr>
                <w:p w14:paraId="487429B7">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0.034</w:t>
                  </w:r>
                </w:p>
              </w:tc>
              <w:tc>
                <w:tcPr>
                  <w:tcW w:w="1526" w:type="pct"/>
                  <w:tcBorders>
                    <w:top w:val="single" w:color="auto" w:sz="4" w:space="0"/>
                    <w:left w:val="single" w:color="auto" w:sz="4" w:space="0"/>
                    <w:bottom w:val="single" w:color="auto" w:sz="4" w:space="0"/>
                    <w:right w:val="nil"/>
                  </w:tcBorders>
                  <w:noWrap w:val="0"/>
                  <w:vAlign w:val="center"/>
                </w:tcPr>
                <w:p w14:paraId="3A85AE69">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0.04</w:t>
                  </w:r>
                  <w:r>
                    <w:rPr>
                      <w:rFonts w:hint="default" w:ascii="Times New Roman" w:hAnsi="Times New Roman" w:cs="Times New Roman"/>
                      <w:kern w:val="0"/>
                      <w:sz w:val="18"/>
                      <w:szCs w:val="18"/>
                      <w:highlight w:val="none"/>
                      <w:lang w:val="en-US" w:eastAsia="zh-CN"/>
                    </w:rPr>
                    <w:t>4</w:t>
                  </w:r>
                </w:p>
              </w:tc>
            </w:tr>
            <w:tr w14:paraId="2EAF1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89" w:type="pct"/>
                  <w:tcBorders>
                    <w:top w:val="single" w:color="auto" w:sz="4" w:space="0"/>
                    <w:left w:val="nil"/>
                    <w:bottom w:val="single" w:color="auto" w:sz="4" w:space="0"/>
                    <w:right w:val="single" w:color="auto" w:sz="4" w:space="0"/>
                  </w:tcBorders>
                  <w:noWrap w:val="0"/>
                  <w:vAlign w:val="center"/>
                </w:tcPr>
                <w:p w14:paraId="16F29295">
                  <w:pPr>
                    <w:keepNext w:val="0"/>
                    <w:keepLines w:val="0"/>
                    <w:pageBreakBefore w:val="0"/>
                    <w:kinsoku/>
                    <w:wordWrap/>
                    <w:overflowPunct/>
                    <w:topLinePunct w:val="0"/>
                    <w:bidi w:val="0"/>
                    <w:adjustRightInd w:val="0"/>
                    <w:snapToGrid w:val="0"/>
                    <w:spacing w:line="240" w:lineRule="auto"/>
                    <w:ind w:right="0"/>
                    <w:jc w:val="center"/>
                    <w:textAlignment w:val="auto"/>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氨氮</w:t>
                  </w:r>
                </w:p>
              </w:tc>
              <w:tc>
                <w:tcPr>
                  <w:tcW w:w="2183" w:type="pct"/>
                  <w:tcBorders>
                    <w:top w:val="single" w:color="auto" w:sz="4" w:space="0"/>
                    <w:left w:val="single" w:color="auto" w:sz="4" w:space="0"/>
                    <w:bottom w:val="single" w:color="auto" w:sz="4" w:space="0"/>
                    <w:right w:val="nil"/>
                  </w:tcBorders>
                  <w:noWrap w:val="0"/>
                  <w:vAlign w:val="center"/>
                </w:tcPr>
                <w:p w14:paraId="47869C48">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0.00017</w:t>
                  </w:r>
                </w:p>
              </w:tc>
              <w:tc>
                <w:tcPr>
                  <w:tcW w:w="1526" w:type="pct"/>
                  <w:tcBorders>
                    <w:top w:val="single" w:color="auto" w:sz="4" w:space="0"/>
                    <w:left w:val="single" w:color="auto" w:sz="4" w:space="0"/>
                    <w:bottom w:val="single" w:color="auto" w:sz="4" w:space="0"/>
                    <w:right w:val="nil"/>
                  </w:tcBorders>
                  <w:noWrap w:val="0"/>
                  <w:vAlign w:val="center"/>
                </w:tcPr>
                <w:p w14:paraId="0316A3A9">
                  <w:pPr>
                    <w:pStyle w:val="5"/>
                    <w:keepNext w:val="0"/>
                    <w:keepLines w:val="0"/>
                    <w:pageBreakBefore w:val="0"/>
                    <w:kinsoku/>
                    <w:wordWrap/>
                    <w:overflowPunct/>
                    <w:topLinePunct w:val="0"/>
                    <w:bidi w:val="0"/>
                    <w:adjustRightInd w:val="0"/>
                    <w:snapToGrid w:val="0"/>
                    <w:spacing w:before="0" w:after="0" w:line="240" w:lineRule="auto"/>
                    <w:ind w:right="0"/>
                    <w:jc w:val="center"/>
                    <w:textAlignment w:val="auto"/>
                    <w:rPr>
                      <w:rFonts w:hint="default" w:ascii="Times New Roman" w:hAnsi="Times New Roman" w:eastAsia="宋体" w:cs="Times New Roman"/>
                      <w:kern w:val="0"/>
                      <w:sz w:val="18"/>
                      <w:szCs w:val="18"/>
                      <w:highlight w:val="none"/>
                      <w:lang w:val="en-US" w:eastAsia="zh-CN"/>
                    </w:rPr>
                  </w:pPr>
                  <w:r>
                    <w:rPr>
                      <w:rFonts w:hint="default" w:ascii="Times New Roman" w:hAnsi="Times New Roman" w:eastAsia="宋体" w:cs="Times New Roman"/>
                      <w:kern w:val="0"/>
                      <w:sz w:val="18"/>
                      <w:szCs w:val="18"/>
                      <w:highlight w:val="none"/>
                      <w:lang w:val="en-US" w:eastAsia="zh-CN"/>
                    </w:rPr>
                    <w:t>0.0031</w:t>
                  </w:r>
                </w:p>
              </w:tc>
            </w:tr>
          </w:tbl>
          <w:p w14:paraId="5DAFA6A4">
            <w:pPr>
              <w:adjustRightInd w:val="0"/>
              <w:snapToGrid w:val="0"/>
              <w:jc w:val="left"/>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 xml:space="preserve"> </w:t>
            </w:r>
          </w:p>
        </w:tc>
      </w:tr>
    </w:tbl>
    <w:p w14:paraId="50408CF2">
      <w:pPr>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bookmarkStart w:id="8" w:name="_Toc31677"/>
      <w:r>
        <w:rPr>
          <w:rFonts w:hint="default" w:ascii="Times New Roman" w:hAnsi="Times New Roman" w:eastAsia="黑体" w:cs="Times New Roman"/>
          <w:snapToGrid w:val="0"/>
          <w:color w:val="auto"/>
          <w:sz w:val="30"/>
          <w:szCs w:val="30"/>
          <w:highlight w:val="none"/>
        </w:rPr>
        <w:t>四、主要环境影响和保护措施</w:t>
      </w:r>
      <w:bookmarkEnd w:id="8"/>
    </w:p>
    <w:tbl>
      <w:tblPr>
        <w:tblStyle w:val="1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AC80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746" w:type="dxa"/>
            <w:noWrap w:val="0"/>
            <w:tcMar>
              <w:left w:w="28" w:type="dxa"/>
              <w:right w:w="28" w:type="dxa"/>
            </w:tcMar>
            <w:vAlign w:val="center"/>
          </w:tcPr>
          <w:p w14:paraId="0BC4CF56">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施工</w:t>
            </w:r>
          </w:p>
          <w:p w14:paraId="0F4DAE8F">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期环</w:t>
            </w:r>
          </w:p>
          <w:p w14:paraId="52F7011B">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境保</w:t>
            </w:r>
          </w:p>
          <w:p w14:paraId="1168B264">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护措</w:t>
            </w:r>
          </w:p>
          <w:p w14:paraId="148F6A5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施</w:t>
            </w:r>
          </w:p>
        </w:tc>
        <w:tc>
          <w:tcPr>
            <w:tcW w:w="8162" w:type="dxa"/>
            <w:noWrap w:val="0"/>
            <w:vAlign w:val="center"/>
          </w:tcPr>
          <w:p w14:paraId="77AF86DB">
            <w:pPr>
              <w:adjustRightInd w:val="0"/>
              <w:snapToGrid w:val="0"/>
              <w:spacing w:line="360" w:lineRule="auto"/>
              <w:ind w:firstLine="420" w:firstLineChars="200"/>
              <w:rPr>
                <w:rFonts w:hint="default" w:ascii="Times New Roman" w:hAnsi="Times New Roman" w:cs="Times New Roman"/>
                <w:bCs/>
                <w:color w:val="auto"/>
                <w:szCs w:val="21"/>
                <w:highlight w:val="none"/>
                <w:lang w:val="en-US"/>
              </w:rPr>
            </w:pPr>
            <w:r>
              <w:rPr>
                <w:rFonts w:hint="default" w:ascii="Times New Roman" w:hAnsi="Times New Roman" w:eastAsia="宋体" w:cs="Times New Roman"/>
                <w:bCs/>
                <w:color w:val="auto"/>
                <w:sz w:val="21"/>
                <w:szCs w:val="21"/>
                <w:highlight w:val="none"/>
                <w:lang w:val="en-US" w:eastAsia="zh-CN"/>
              </w:rPr>
              <w:t>本项目租赁现有设备及场地，施工期仅进行设备的检修及调试，不涉及大型的土建工作，对周围环境影响较小，故不进行施工期环境保护措施分析。</w:t>
            </w:r>
          </w:p>
        </w:tc>
      </w:tr>
      <w:tr w14:paraId="67AF2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46" w:type="dxa"/>
            <w:noWrap w:val="0"/>
            <w:tcMar>
              <w:left w:w="28" w:type="dxa"/>
              <w:right w:w="28" w:type="dxa"/>
            </w:tcMar>
            <w:vAlign w:val="center"/>
          </w:tcPr>
          <w:p w14:paraId="24A8D3F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14:paraId="37ED5513">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14:paraId="1328132D">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14:paraId="49572145">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14:paraId="2A1EB308">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14:paraId="3E191F1C">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措施</w:t>
            </w:r>
          </w:p>
        </w:tc>
        <w:tc>
          <w:tcPr>
            <w:tcW w:w="8162" w:type="dxa"/>
            <w:noWrap w:val="0"/>
            <w:vAlign w:val="center"/>
          </w:tcPr>
          <w:p w14:paraId="50CBECF2">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1、废气</w:t>
            </w:r>
          </w:p>
          <w:p w14:paraId="5D31CBB1">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1</w:t>
            </w:r>
            <w:r>
              <w:rPr>
                <w:rFonts w:hint="default" w:ascii="Times New Roman" w:hAnsi="Times New Roman" w:cs="Times New Roman"/>
                <w:bCs/>
                <w:color w:val="auto"/>
                <w:szCs w:val="21"/>
                <w:highlight w:val="none"/>
              </w:rPr>
              <w:t>）项目废气污染源</w:t>
            </w:r>
          </w:p>
          <w:p w14:paraId="69528F3F">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1</w:t>
            </w:r>
            <w:r>
              <w:rPr>
                <w:rFonts w:hint="default" w:ascii="Times New Roman" w:hAnsi="Times New Roman" w:cs="Times New Roman"/>
                <w:b/>
                <w:color w:val="auto"/>
                <w:szCs w:val="21"/>
                <w:highlight w:val="none"/>
              </w:rPr>
              <w:t xml:space="preserve">  废气源强核算表</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
              <w:gridCol w:w="562"/>
              <w:gridCol w:w="350"/>
              <w:gridCol w:w="913"/>
              <w:gridCol w:w="712"/>
              <w:gridCol w:w="675"/>
              <w:gridCol w:w="400"/>
              <w:gridCol w:w="613"/>
              <w:gridCol w:w="387"/>
              <w:gridCol w:w="888"/>
              <w:gridCol w:w="787"/>
              <w:gridCol w:w="713"/>
              <w:gridCol w:w="597"/>
            </w:tblGrid>
            <w:tr w14:paraId="6C74D3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 w:type="pct"/>
                  <w:vMerge w:val="restart"/>
                  <w:noWrap w:val="0"/>
                  <w:vAlign w:val="center"/>
                </w:tcPr>
                <w:p w14:paraId="6FA684CC">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排放源</w:t>
                  </w:r>
                </w:p>
              </w:tc>
              <w:tc>
                <w:tcPr>
                  <w:tcW w:w="353" w:type="pct"/>
                  <w:vMerge w:val="restart"/>
                  <w:noWrap w:val="0"/>
                  <w:vAlign w:val="center"/>
                </w:tcPr>
                <w:p w14:paraId="4B7FE30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污染物</w:t>
                  </w:r>
                </w:p>
              </w:tc>
              <w:tc>
                <w:tcPr>
                  <w:tcW w:w="1667" w:type="pct"/>
                  <w:gridSpan w:val="4"/>
                  <w:noWrap w:val="0"/>
                  <w:vAlign w:val="center"/>
                </w:tcPr>
                <w:p w14:paraId="1801DD87">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污染物产生</w:t>
                  </w:r>
                </w:p>
              </w:tc>
              <w:tc>
                <w:tcPr>
                  <w:tcW w:w="637" w:type="pct"/>
                  <w:gridSpan w:val="2"/>
                  <w:noWrap w:val="0"/>
                  <w:vAlign w:val="center"/>
                </w:tcPr>
                <w:p w14:paraId="4BF9AF0F">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治理措施</w:t>
                  </w:r>
                </w:p>
              </w:tc>
              <w:tc>
                <w:tcPr>
                  <w:tcW w:w="1746" w:type="pct"/>
                  <w:gridSpan w:val="4"/>
                  <w:noWrap w:val="0"/>
                  <w:vAlign w:val="center"/>
                </w:tcPr>
                <w:p w14:paraId="0C120A87">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污染物排放</w:t>
                  </w:r>
                </w:p>
              </w:tc>
              <w:tc>
                <w:tcPr>
                  <w:tcW w:w="375" w:type="pct"/>
                  <w:vMerge w:val="restart"/>
                  <w:noWrap w:val="0"/>
                  <w:vAlign w:val="center"/>
                </w:tcPr>
                <w:p w14:paraId="6501A549">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排放时间/h</w:t>
                  </w:r>
                </w:p>
              </w:tc>
            </w:tr>
            <w:tr w14:paraId="439654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 w:type="pct"/>
                  <w:vMerge w:val="continue"/>
                  <w:noWrap w:val="0"/>
                  <w:vAlign w:val="center"/>
                </w:tcPr>
                <w:p w14:paraId="58621864">
                  <w:pPr>
                    <w:jc w:val="center"/>
                    <w:rPr>
                      <w:rFonts w:hint="default" w:ascii="Times New Roman" w:hAnsi="Times New Roman" w:cs="Times New Roman"/>
                      <w:color w:val="auto"/>
                      <w:sz w:val="18"/>
                      <w:szCs w:val="18"/>
                      <w:highlight w:val="none"/>
                    </w:rPr>
                  </w:pPr>
                </w:p>
              </w:tc>
              <w:tc>
                <w:tcPr>
                  <w:tcW w:w="353" w:type="pct"/>
                  <w:vMerge w:val="continue"/>
                  <w:noWrap w:val="0"/>
                  <w:vAlign w:val="center"/>
                </w:tcPr>
                <w:p w14:paraId="38B8E6D9">
                  <w:pPr>
                    <w:jc w:val="center"/>
                    <w:rPr>
                      <w:rFonts w:hint="default" w:ascii="Times New Roman" w:hAnsi="Times New Roman" w:cs="Times New Roman"/>
                      <w:color w:val="auto"/>
                      <w:sz w:val="18"/>
                      <w:szCs w:val="18"/>
                      <w:highlight w:val="none"/>
                    </w:rPr>
                  </w:pPr>
                </w:p>
              </w:tc>
              <w:tc>
                <w:tcPr>
                  <w:tcW w:w="220" w:type="pct"/>
                  <w:noWrap w:val="0"/>
                  <w:vAlign w:val="center"/>
                </w:tcPr>
                <w:p w14:paraId="6AEFD84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核算方法</w:t>
                  </w:r>
                </w:p>
              </w:tc>
              <w:tc>
                <w:tcPr>
                  <w:tcW w:w="574" w:type="pct"/>
                  <w:noWrap w:val="0"/>
                  <w:vAlign w:val="center"/>
                </w:tcPr>
                <w:p w14:paraId="6EB4768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rPr>
                    <w:t>废气量</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a</w:t>
                  </w:r>
                </w:p>
              </w:tc>
              <w:tc>
                <w:tcPr>
                  <w:tcW w:w="448" w:type="pct"/>
                  <w:noWrap w:val="0"/>
                  <w:vAlign w:val="center"/>
                </w:tcPr>
                <w:p w14:paraId="647B7B1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产生浓度mg/m</w:t>
                  </w:r>
                  <w:r>
                    <w:rPr>
                      <w:rFonts w:hint="default" w:ascii="Times New Roman" w:hAnsi="Times New Roman" w:cs="Times New Roman"/>
                      <w:color w:val="auto"/>
                      <w:kern w:val="0"/>
                      <w:sz w:val="18"/>
                      <w:szCs w:val="18"/>
                      <w:highlight w:val="none"/>
                      <w:vertAlign w:val="superscript"/>
                    </w:rPr>
                    <w:t>3</w:t>
                  </w:r>
                </w:p>
              </w:tc>
              <w:tc>
                <w:tcPr>
                  <w:tcW w:w="424" w:type="pct"/>
                  <w:noWrap w:val="0"/>
                  <w:vAlign w:val="center"/>
                </w:tcPr>
                <w:p w14:paraId="24BCBCAA">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排放</w:t>
                  </w:r>
                  <w:r>
                    <w:rPr>
                      <w:rFonts w:hint="default" w:ascii="Times New Roman" w:hAnsi="Times New Roman" w:cs="Times New Roman"/>
                      <w:color w:val="auto"/>
                      <w:kern w:val="0"/>
                      <w:sz w:val="18"/>
                      <w:szCs w:val="18"/>
                      <w:highlight w:val="none"/>
                      <w:lang w:eastAsia="zh-CN"/>
                    </w:rPr>
                    <w:t>量</w:t>
                  </w:r>
                </w:p>
                <w:p w14:paraId="5A27F0BD">
                  <w:pPr>
                    <w:jc w:val="center"/>
                    <w:rPr>
                      <w:rFonts w:hint="default" w:ascii="Times New Roman" w:hAnsi="Times New Roman" w:cs="Times New Roman"/>
                      <w:highlight w:val="none"/>
                      <w:lang w:val="en-US" w:eastAsia="zh-CN"/>
                    </w:rPr>
                  </w:pPr>
                  <w:r>
                    <w:rPr>
                      <w:rFonts w:hint="default" w:ascii="Times New Roman" w:hAnsi="Times New Roman" w:cs="Times New Roman"/>
                      <w:color w:val="auto"/>
                      <w:kern w:val="0"/>
                      <w:sz w:val="18"/>
                      <w:szCs w:val="18"/>
                      <w:highlight w:val="none"/>
                      <w:lang w:val="en-US" w:eastAsia="zh-CN"/>
                    </w:rPr>
                    <w:t>t/a</w:t>
                  </w:r>
                </w:p>
              </w:tc>
              <w:tc>
                <w:tcPr>
                  <w:tcW w:w="251" w:type="pct"/>
                  <w:noWrap w:val="0"/>
                  <w:vAlign w:val="center"/>
                </w:tcPr>
                <w:p w14:paraId="1FE9EC0F">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工艺</w:t>
                  </w:r>
                </w:p>
              </w:tc>
              <w:tc>
                <w:tcPr>
                  <w:tcW w:w="385" w:type="pct"/>
                  <w:noWrap w:val="0"/>
                  <w:vAlign w:val="center"/>
                </w:tcPr>
                <w:p w14:paraId="6534E18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rPr>
                    <w:t>效率</w:t>
                  </w:r>
                  <w:r>
                    <w:rPr>
                      <w:rFonts w:hint="default" w:ascii="Times New Roman" w:hAnsi="Times New Roman" w:cs="Times New Roman"/>
                      <w:color w:val="auto"/>
                      <w:kern w:val="0"/>
                      <w:sz w:val="18"/>
                      <w:szCs w:val="18"/>
                      <w:highlight w:val="none"/>
                      <w:lang w:val="en-US" w:eastAsia="zh-CN"/>
                    </w:rPr>
                    <w:t>%</w:t>
                  </w:r>
                </w:p>
              </w:tc>
              <w:tc>
                <w:tcPr>
                  <w:tcW w:w="243" w:type="pct"/>
                  <w:noWrap w:val="0"/>
                  <w:vAlign w:val="center"/>
                </w:tcPr>
                <w:p w14:paraId="4009C1C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核算方法</w:t>
                  </w:r>
                </w:p>
              </w:tc>
              <w:tc>
                <w:tcPr>
                  <w:tcW w:w="558" w:type="pct"/>
                  <w:noWrap w:val="0"/>
                  <w:vAlign w:val="center"/>
                </w:tcPr>
                <w:p w14:paraId="2D178343">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rPr>
                    <w:t>废气量</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a</w:t>
                  </w:r>
                </w:p>
              </w:tc>
              <w:tc>
                <w:tcPr>
                  <w:tcW w:w="495" w:type="pct"/>
                  <w:noWrap w:val="0"/>
                  <w:vAlign w:val="center"/>
                </w:tcPr>
                <w:p w14:paraId="229DCB4B">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排放</w:t>
                  </w:r>
                </w:p>
                <w:p w14:paraId="779F586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浓度mg/m</w:t>
                  </w:r>
                  <w:r>
                    <w:rPr>
                      <w:rFonts w:hint="default" w:ascii="Times New Roman" w:hAnsi="Times New Roman" w:cs="Times New Roman"/>
                      <w:color w:val="auto"/>
                      <w:kern w:val="0"/>
                      <w:sz w:val="18"/>
                      <w:szCs w:val="18"/>
                      <w:highlight w:val="none"/>
                      <w:vertAlign w:val="superscript"/>
                    </w:rPr>
                    <w:t>3</w:t>
                  </w:r>
                </w:p>
              </w:tc>
              <w:tc>
                <w:tcPr>
                  <w:tcW w:w="448" w:type="pct"/>
                  <w:noWrap w:val="0"/>
                  <w:vAlign w:val="center"/>
                </w:tcPr>
                <w:p w14:paraId="6F85FF6E">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rPr>
                    <w:t>排放</w:t>
                  </w:r>
                  <w:r>
                    <w:rPr>
                      <w:rFonts w:hint="default" w:ascii="Times New Roman" w:hAnsi="Times New Roman" w:cs="Times New Roman"/>
                      <w:color w:val="auto"/>
                      <w:kern w:val="0"/>
                      <w:sz w:val="18"/>
                      <w:szCs w:val="18"/>
                      <w:highlight w:val="none"/>
                      <w:lang w:eastAsia="zh-CN"/>
                    </w:rPr>
                    <w:t>量</w:t>
                  </w:r>
                  <w:r>
                    <w:rPr>
                      <w:rFonts w:hint="default" w:ascii="Times New Roman" w:hAnsi="Times New Roman" w:cs="Times New Roman"/>
                      <w:color w:val="auto"/>
                      <w:kern w:val="0"/>
                      <w:sz w:val="18"/>
                      <w:szCs w:val="18"/>
                      <w:highlight w:val="none"/>
                      <w:lang w:val="en-US" w:eastAsia="zh-CN"/>
                    </w:rPr>
                    <w:t>t/a</w:t>
                  </w:r>
                </w:p>
              </w:tc>
              <w:tc>
                <w:tcPr>
                  <w:tcW w:w="375" w:type="pct"/>
                  <w:vMerge w:val="continue"/>
                  <w:noWrap w:val="0"/>
                  <w:vAlign w:val="center"/>
                </w:tcPr>
                <w:p w14:paraId="2A85188D">
                  <w:pPr>
                    <w:jc w:val="center"/>
                    <w:rPr>
                      <w:rFonts w:hint="default" w:ascii="Times New Roman" w:hAnsi="Times New Roman" w:cs="Times New Roman"/>
                      <w:color w:val="auto"/>
                      <w:kern w:val="0"/>
                      <w:sz w:val="18"/>
                      <w:szCs w:val="18"/>
                      <w:highlight w:val="none"/>
                    </w:rPr>
                  </w:pPr>
                </w:p>
              </w:tc>
            </w:tr>
            <w:tr w14:paraId="783A88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219" w:type="pct"/>
                  <w:vMerge w:val="restart"/>
                  <w:noWrap w:val="0"/>
                  <w:vAlign w:val="center"/>
                </w:tcPr>
                <w:p w14:paraId="6C888A9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生物质锅炉</w:t>
                  </w:r>
                </w:p>
              </w:tc>
              <w:tc>
                <w:tcPr>
                  <w:tcW w:w="353" w:type="pct"/>
                  <w:noWrap w:val="0"/>
                  <w:vAlign w:val="center"/>
                </w:tcPr>
                <w:p w14:paraId="15CBD3BE">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颗粒物</w:t>
                  </w:r>
                </w:p>
              </w:tc>
              <w:tc>
                <w:tcPr>
                  <w:tcW w:w="220" w:type="pct"/>
                  <w:vMerge w:val="restart"/>
                  <w:noWrap w:val="0"/>
                  <w:vAlign w:val="center"/>
                </w:tcPr>
                <w:p w14:paraId="039F7514">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kern w:val="0"/>
                      <w:sz w:val="18"/>
                      <w:szCs w:val="18"/>
                      <w:highlight w:val="none"/>
                      <w:lang w:eastAsia="zh-CN"/>
                    </w:rPr>
                    <w:t>物料衡算法</w:t>
                  </w:r>
                </w:p>
              </w:tc>
              <w:tc>
                <w:tcPr>
                  <w:tcW w:w="574" w:type="pct"/>
                  <w:vMerge w:val="restart"/>
                  <w:noWrap w:val="0"/>
                  <w:vAlign w:val="center"/>
                </w:tcPr>
                <w:p w14:paraId="4C7785E6">
                  <w:pPr>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1.94×10</w:t>
                  </w:r>
                  <w:r>
                    <w:rPr>
                      <w:rFonts w:hint="default" w:ascii="Times New Roman" w:hAnsi="Times New Roman" w:cs="Times New Roman"/>
                      <w:color w:val="auto"/>
                      <w:kern w:val="0"/>
                      <w:sz w:val="18"/>
                      <w:szCs w:val="18"/>
                      <w:highlight w:val="none"/>
                      <w:vertAlign w:val="superscript"/>
                      <w:lang w:val="en-US" w:eastAsia="zh-CN"/>
                    </w:rPr>
                    <w:t>6</w:t>
                  </w:r>
                </w:p>
              </w:tc>
              <w:tc>
                <w:tcPr>
                  <w:tcW w:w="712" w:type="dxa"/>
                  <w:noWrap w:val="0"/>
                  <w:vAlign w:val="center"/>
                </w:tcPr>
                <w:p w14:paraId="19C2086B">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9106.80 </w:t>
                  </w:r>
                </w:p>
              </w:tc>
              <w:tc>
                <w:tcPr>
                  <w:tcW w:w="675" w:type="dxa"/>
                  <w:noWrap w:val="0"/>
                  <w:vAlign w:val="center"/>
                </w:tcPr>
                <w:p w14:paraId="3954B82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17.651 </w:t>
                  </w:r>
                </w:p>
              </w:tc>
              <w:tc>
                <w:tcPr>
                  <w:tcW w:w="251" w:type="pct"/>
                  <w:noWrap w:val="0"/>
                  <w:vAlign w:val="center"/>
                </w:tcPr>
                <w:p w14:paraId="6511E253">
                  <w:pPr>
                    <w:jc w:val="center"/>
                    <w:rPr>
                      <w:rFonts w:hint="default" w:ascii="Times New Roman" w:hAnsi="Times New Roman" w:eastAsia="宋体" w:cs="Times New Roman"/>
                      <w:color w:val="auto"/>
                      <w:kern w:val="0"/>
                      <w:sz w:val="18"/>
                      <w:szCs w:val="18"/>
                      <w:highlight w:val="none"/>
                      <w:lang w:eastAsia="zh-CN"/>
                    </w:rPr>
                  </w:pPr>
                  <w:r>
                    <w:rPr>
                      <w:rFonts w:hint="default" w:ascii="Times New Roman" w:hAnsi="Times New Roman" w:cs="Times New Roman"/>
                      <w:color w:val="auto"/>
                      <w:sz w:val="18"/>
                      <w:szCs w:val="18"/>
                      <w:highlight w:val="none"/>
                      <w:lang w:eastAsia="zh-CN"/>
                    </w:rPr>
                    <w:t>旋风</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布袋除尘器</w:t>
                  </w:r>
                </w:p>
              </w:tc>
              <w:tc>
                <w:tcPr>
                  <w:tcW w:w="385" w:type="pct"/>
                  <w:noWrap w:val="0"/>
                  <w:vAlign w:val="center"/>
                </w:tcPr>
                <w:p w14:paraId="61B750A2">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99.7</w:t>
                  </w:r>
                </w:p>
              </w:tc>
              <w:tc>
                <w:tcPr>
                  <w:tcW w:w="243" w:type="pct"/>
                  <w:vMerge w:val="restart"/>
                  <w:noWrap w:val="0"/>
                  <w:vAlign w:val="center"/>
                </w:tcPr>
                <w:p w14:paraId="44702759">
                  <w:pPr>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sz w:val="18"/>
                      <w:szCs w:val="18"/>
                      <w:highlight w:val="none"/>
                    </w:rPr>
                    <w:t>物料衡算法</w:t>
                  </w:r>
                </w:p>
              </w:tc>
              <w:tc>
                <w:tcPr>
                  <w:tcW w:w="558" w:type="pct"/>
                  <w:vMerge w:val="restart"/>
                  <w:noWrap w:val="0"/>
                  <w:vAlign w:val="center"/>
                </w:tcPr>
                <w:p w14:paraId="02F75476">
                  <w:pPr>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1.94×10</w:t>
                  </w:r>
                  <w:r>
                    <w:rPr>
                      <w:rFonts w:hint="default" w:ascii="Times New Roman" w:hAnsi="Times New Roman" w:cs="Times New Roman"/>
                      <w:color w:val="auto"/>
                      <w:kern w:val="0"/>
                      <w:sz w:val="18"/>
                      <w:szCs w:val="18"/>
                      <w:highlight w:val="none"/>
                      <w:vertAlign w:val="superscript"/>
                      <w:lang w:val="en-US" w:eastAsia="zh-CN"/>
                    </w:rPr>
                    <w:t>6</w:t>
                  </w:r>
                </w:p>
              </w:tc>
              <w:tc>
                <w:tcPr>
                  <w:tcW w:w="787" w:type="dxa"/>
                  <w:noWrap w:val="0"/>
                  <w:vAlign w:val="center"/>
                </w:tcPr>
                <w:p w14:paraId="70293B11">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27.32 </w:t>
                  </w:r>
                </w:p>
              </w:tc>
              <w:tc>
                <w:tcPr>
                  <w:tcW w:w="713" w:type="dxa"/>
                  <w:noWrap w:val="0"/>
                  <w:vAlign w:val="center"/>
                </w:tcPr>
                <w:p w14:paraId="32EFABB2">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0.053 </w:t>
                  </w:r>
                </w:p>
              </w:tc>
              <w:tc>
                <w:tcPr>
                  <w:tcW w:w="375" w:type="pct"/>
                  <w:vMerge w:val="restart"/>
                  <w:noWrap w:val="0"/>
                  <w:vAlign w:val="center"/>
                </w:tcPr>
                <w:p w14:paraId="4EEEB871">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480</w:t>
                  </w:r>
                </w:p>
              </w:tc>
            </w:tr>
            <w:tr w14:paraId="6C6C1B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 w:type="pct"/>
                  <w:vMerge w:val="continue"/>
                  <w:noWrap w:val="0"/>
                  <w:vAlign w:val="center"/>
                </w:tcPr>
                <w:p w14:paraId="13856709">
                  <w:pPr>
                    <w:jc w:val="center"/>
                    <w:rPr>
                      <w:rFonts w:hint="default" w:ascii="Times New Roman" w:hAnsi="Times New Roman" w:cs="Times New Roman"/>
                      <w:color w:val="auto"/>
                      <w:sz w:val="18"/>
                      <w:szCs w:val="18"/>
                      <w:highlight w:val="none"/>
                    </w:rPr>
                  </w:pPr>
                </w:p>
              </w:tc>
              <w:tc>
                <w:tcPr>
                  <w:tcW w:w="353" w:type="pct"/>
                  <w:noWrap w:val="0"/>
                  <w:vAlign w:val="center"/>
                </w:tcPr>
                <w:p w14:paraId="204E9429">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220" w:type="pct"/>
                  <w:vMerge w:val="continue"/>
                  <w:noWrap w:val="0"/>
                  <w:vAlign w:val="center"/>
                </w:tcPr>
                <w:p w14:paraId="5DF102B9">
                  <w:pPr>
                    <w:jc w:val="center"/>
                    <w:rPr>
                      <w:rFonts w:hint="default" w:ascii="Times New Roman" w:hAnsi="Times New Roman" w:cs="Times New Roman"/>
                      <w:color w:val="auto"/>
                      <w:kern w:val="0"/>
                      <w:sz w:val="18"/>
                      <w:szCs w:val="18"/>
                      <w:highlight w:val="none"/>
                    </w:rPr>
                  </w:pPr>
                </w:p>
              </w:tc>
              <w:tc>
                <w:tcPr>
                  <w:tcW w:w="574" w:type="pct"/>
                  <w:vMerge w:val="continue"/>
                  <w:noWrap w:val="0"/>
                  <w:vAlign w:val="center"/>
                </w:tcPr>
                <w:p w14:paraId="3C3AFFDE">
                  <w:pPr>
                    <w:jc w:val="center"/>
                    <w:rPr>
                      <w:rFonts w:hint="default" w:ascii="Times New Roman" w:hAnsi="Times New Roman" w:cs="Times New Roman"/>
                      <w:color w:val="auto"/>
                      <w:kern w:val="0"/>
                      <w:sz w:val="18"/>
                      <w:szCs w:val="18"/>
                      <w:highlight w:val="none"/>
                    </w:rPr>
                  </w:pPr>
                </w:p>
              </w:tc>
              <w:tc>
                <w:tcPr>
                  <w:tcW w:w="712" w:type="dxa"/>
                  <w:noWrap w:val="0"/>
                  <w:vAlign w:val="center"/>
                </w:tcPr>
                <w:p w14:paraId="0897F063">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85.38 </w:t>
                  </w:r>
                </w:p>
              </w:tc>
              <w:tc>
                <w:tcPr>
                  <w:tcW w:w="675" w:type="dxa"/>
                  <w:noWrap w:val="0"/>
                  <w:vAlign w:val="center"/>
                </w:tcPr>
                <w:p w14:paraId="0E4F1AC6">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0.165 </w:t>
                  </w:r>
                </w:p>
              </w:tc>
              <w:tc>
                <w:tcPr>
                  <w:tcW w:w="251" w:type="pct"/>
                  <w:noWrap w:val="0"/>
                  <w:vAlign w:val="center"/>
                </w:tcPr>
                <w:p w14:paraId="57A0C98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385" w:type="pct"/>
                  <w:noWrap w:val="0"/>
                  <w:vAlign w:val="center"/>
                </w:tcPr>
                <w:p w14:paraId="66A33957">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t>
                  </w:r>
                </w:p>
              </w:tc>
              <w:tc>
                <w:tcPr>
                  <w:tcW w:w="243" w:type="pct"/>
                  <w:vMerge w:val="continue"/>
                  <w:noWrap w:val="0"/>
                  <w:vAlign w:val="center"/>
                </w:tcPr>
                <w:p w14:paraId="63CF5DF6">
                  <w:pPr>
                    <w:jc w:val="center"/>
                    <w:rPr>
                      <w:rFonts w:hint="default" w:ascii="Times New Roman" w:hAnsi="Times New Roman" w:cs="Times New Roman"/>
                      <w:color w:val="auto"/>
                      <w:sz w:val="18"/>
                      <w:szCs w:val="18"/>
                      <w:highlight w:val="none"/>
                    </w:rPr>
                  </w:pPr>
                </w:p>
              </w:tc>
              <w:tc>
                <w:tcPr>
                  <w:tcW w:w="558" w:type="pct"/>
                  <w:vMerge w:val="continue"/>
                  <w:noWrap w:val="0"/>
                  <w:vAlign w:val="center"/>
                </w:tcPr>
                <w:p w14:paraId="5CB3719D">
                  <w:pPr>
                    <w:jc w:val="center"/>
                    <w:rPr>
                      <w:rFonts w:hint="default" w:ascii="Times New Roman" w:hAnsi="Times New Roman" w:cs="Times New Roman"/>
                      <w:color w:val="auto"/>
                      <w:kern w:val="0"/>
                      <w:sz w:val="18"/>
                      <w:szCs w:val="18"/>
                      <w:highlight w:val="none"/>
                    </w:rPr>
                  </w:pPr>
                </w:p>
              </w:tc>
              <w:tc>
                <w:tcPr>
                  <w:tcW w:w="787" w:type="dxa"/>
                  <w:noWrap w:val="0"/>
                  <w:vAlign w:val="center"/>
                </w:tcPr>
                <w:p w14:paraId="2C2D175E">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85.38 </w:t>
                  </w:r>
                </w:p>
              </w:tc>
              <w:tc>
                <w:tcPr>
                  <w:tcW w:w="713" w:type="dxa"/>
                  <w:noWrap w:val="0"/>
                  <w:vAlign w:val="center"/>
                </w:tcPr>
                <w:p w14:paraId="66828C6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0.165 </w:t>
                  </w:r>
                </w:p>
              </w:tc>
              <w:tc>
                <w:tcPr>
                  <w:tcW w:w="375" w:type="pct"/>
                  <w:vMerge w:val="continue"/>
                  <w:noWrap w:val="0"/>
                  <w:vAlign w:val="center"/>
                </w:tcPr>
                <w:p w14:paraId="4ECBCEB1">
                  <w:pPr>
                    <w:jc w:val="center"/>
                    <w:rPr>
                      <w:rFonts w:hint="default" w:ascii="Times New Roman" w:hAnsi="Times New Roman" w:cs="Times New Roman"/>
                      <w:color w:val="auto"/>
                      <w:kern w:val="0"/>
                      <w:sz w:val="18"/>
                      <w:szCs w:val="18"/>
                      <w:highlight w:val="none"/>
                    </w:rPr>
                  </w:pPr>
                </w:p>
              </w:tc>
            </w:tr>
            <w:tr w14:paraId="08A921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9" w:type="pct"/>
                  <w:vMerge w:val="continue"/>
                  <w:noWrap w:val="0"/>
                  <w:vAlign w:val="top"/>
                </w:tcPr>
                <w:p w14:paraId="36E037C5">
                  <w:pPr>
                    <w:jc w:val="center"/>
                    <w:rPr>
                      <w:rFonts w:hint="default" w:ascii="Times New Roman" w:hAnsi="Times New Roman" w:cs="Times New Roman"/>
                      <w:color w:val="auto"/>
                      <w:sz w:val="18"/>
                      <w:szCs w:val="18"/>
                      <w:highlight w:val="none"/>
                    </w:rPr>
                  </w:pPr>
                </w:p>
              </w:tc>
              <w:tc>
                <w:tcPr>
                  <w:tcW w:w="353" w:type="pct"/>
                  <w:noWrap w:val="0"/>
                  <w:vAlign w:val="center"/>
                </w:tcPr>
                <w:p w14:paraId="5E7265EA">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X</w:t>
                  </w:r>
                </w:p>
              </w:tc>
              <w:tc>
                <w:tcPr>
                  <w:tcW w:w="220" w:type="pct"/>
                  <w:vMerge w:val="continue"/>
                  <w:noWrap w:val="0"/>
                  <w:vAlign w:val="top"/>
                </w:tcPr>
                <w:p w14:paraId="6225DD7F">
                  <w:pPr>
                    <w:jc w:val="center"/>
                    <w:rPr>
                      <w:rFonts w:hint="default" w:ascii="Times New Roman" w:hAnsi="Times New Roman" w:cs="Times New Roman"/>
                      <w:color w:val="auto"/>
                      <w:kern w:val="0"/>
                      <w:sz w:val="18"/>
                      <w:szCs w:val="18"/>
                      <w:highlight w:val="none"/>
                    </w:rPr>
                  </w:pPr>
                </w:p>
              </w:tc>
              <w:tc>
                <w:tcPr>
                  <w:tcW w:w="574" w:type="pct"/>
                  <w:vMerge w:val="continue"/>
                  <w:noWrap w:val="0"/>
                  <w:vAlign w:val="top"/>
                </w:tcPr>
                <w:p w14:paraId="1CE1498F">
                  <w:pPr>
                    <w:jc w:val="center"/>
                    <w:rPr>
                      <w:rFonts w:hint="default" w:ascii="Times New Roman" w:hAnsi="Times New Roman" w:cs="Times New Roman"/>
                      <w:color w:val="auto"/>
                      <w:kern w:val="0"/>
                      <w:sz w:val="18"/>
                      <w:szCs w:val="18"/>
                      <w:highlight w:val="none"/>
                    </w:rPr>
                  </w:pPr>
                </w:p>
              </w:tc>
              <w:tc>
                <w:tcPr>
                  <w:tcW w:w="712" w:type="dxa"/>
                  <w:noWrap w:val="0"/>
                  <w:vAlign w:val="center"/>
                </w:tcPr>
                <w:p w14:paraId="4D382787">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161.27 </w:t>
                  </w:r>
                </w:p>
              </w:tc>
              <w:tc>
                <w:tcPr>
                  <w:tcW w:w="675" w:type="dxa"/>
                  <w:noWrap w:val="0"/>
                  <w:vAlign w:val="center"/>
                </w:tcPr>
                <w:p w14:paraId="15BAAB2D">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0.313 </w:t>
                  </w:r>
                </w:p>
              </w:tc>
              <w:tc>
                <w:tcPr>
                  <w:tcW w:w="251" w:type="pct"/>
                  <w:noWrap w:val="0"/>
                  <w:vAlign w:val="top"/>
                </w:tcPr>
                <w:p w14:paraId="21F22F2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385" w:type="pct"/>
                  <w:noWrap w:val="0"/>
                  <w:vAlign w:val="top"/>
                </w:tcPr>
                <w:p w14:paraId="36F5169D">
                  <w:pPr>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w:t>
                  </w:r>
                </w:p>
              </w:tc>
              <w:tc>
                <w:tcPr>
                  <w:tcW w:w="243" w:type="pct"/>
                  <w:vMerge w:val="continue"/>
                  <w:noWrap w:val="0"/>
                  <w:vAlign w:val="top"/>
                </w:tcPr>
                <w:p w14:paraId="393E7671">
                  <w:pPr>
                    <w:jc w:val="center"/>
                    <w:rPr>
                      <w:rFonts w:hint="default" w:ascii="Times New Roman" w:hAnsi="Times New Roman" w:cs="Times New Roman"/>
                      <w:color w:val="auto"/>
                      <w:sz w:val="18"/>
                      <w:szCs w:val="18"/>
                      <w:highlight w:val="none"/>
                    </w:rPr>
                  </w:pPr>
                </w:p>
              </w:tc>
              <w:tc>
                <w:tcPr>
                  <w:tcW w:w="558" w:type="pct"/>
                  <w:vMerge w:val="continue"/>
                  <w:noWrap w:val="0"/>
                  <w:vAlign w:val="top"/>
                </w:tcPr>
                <w:p w14:paraId="09EA2793">
                  <w:pPr>
                    <w:jc w:val="center"/>
                    <w:rPr>
                      <w:rFonts w:hint="default" w:ascii="Times New Roman" w:hAnsi="Times New Roman" w:cs="Times New Roman"/>
                      <w:color w:val="auto"/>
                      <w:kern w:val="0"/>
                      <w:sz w:val="18"/>
                      <w:szCs w:val="18"/>
                      <w:highlight w:val="none"/>
                    </w:rPr>
                  </w:pPr>
                </w:p>
              </w:tc>
              <w:tc>
                <w:tcPr>
                  <w:tcW w:w="787" w:type="dxa"/>
                  <w:noWrap w:val="0"/>
                  <w:vAlign w:val="center"/>
                </w:tcPr>
                <w:p w14:paraId="3E7FC01D">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161.27 </w:t>
                  </w:r>
                </w:p>
              </w:tc>
              <w:tc>
                <w:tcPr>
                  <w:tcW w:w="713" w:type="dxa"/>
                  <w:noWrap w:val="0"/>
                  <w:vAlign w:val="center"/>
                </w:tcPr>
                <w:p w14:paraId="5FFF242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0.313 </w:t>
                  </w:r>
                </w:p>
              </w:tc>
              <w:tc>
                <w:tcPr>
                  <w:tcW w:w="375" w:type="pct"/>
                  <w:vMerge w:val="continue"/>
                  <w:noWrap w:val="0"/>
                  <w:vAlign w:val="top"/>
                </w:tcPr>
                <w:p w14:paraId="1274D641">
                  <w:pPr>
                    <w:jc w:val="center"/>
                    <w:rPr>
                      <w:rFonts w:hint="default" w:ascii="Times New Roman" w:hAnsi="Times New Roman" w:cs="Times New Roman"/>
                      <w:color w:val="auto"/>
                      <w:kern w:val="0"/>
                      <w:sz w:val="18"/>
                      <w:szCs w:val="18"/>
                      <w:highlight w:val="none"/>
                    </w:rPr>
                  </w:pPr>
                </w:p>
              </w:tc>
            </w:tr>
          </w:tbl>
          <w:p w14:paraId="6D91A3FE">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lang w:val="en-US" w:eastAsia="zh-CN"/>
              </w:rPr>
              <w:t>1</w:t>
            </w:r>
            <w:r>
              <w:rPr>
                <w:rFonts w:hint="default" w:ascii="Times New Roman" w:hAnsi="Times New Roman" w:cs="Times New Roman"/>
                <w:bCs/>
                <w:color w:val="auto"/>
                <w:spacing w:val="-10"/>
                <w:szCs w:val="21"/>
                <w:highlight w:val="none"/>
                <w:lang w:eastAsia="zh-CN"/>
              </w:rPr>
              <w:t>）粮食装卸</w:t>
            </w:r>
            <w:r>
              <w:rPr>
                <w:rFonts w:hint="default" w:ascii="Times New Roman" w:hAnsi="Times New Roman" w:cs="Times New Roman"/>
                <w:bCs/>
                <w:color w:val="auto"/>
                <w:spacing w:val="-10"/>
                <w:szCs w:val="21"/>
                <w:highlight w:val="none"/>
              </w:rPr>
              <w:t>粉尘</w:t>
            </w:r>
          </w:p>
          <w:p w14:paraId="0E65738B">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本项目生产车间为全封闭建设，鲜玉米含有一定水分，在</w:t>
            </w:r>
            <w:r>
              <w:rPr>
                <w:rFonts w:hint="default" w:ascii="Times New Roman" w:hAnsi="Times New Roman" w:cs="Times New Roman"/>
                <w:bCs/>
                <w:color w:val="auto"/>
                <w:spacing w:val="-10"/>
                <w:szCs w:val="21"/>
                <w:highlight w:val="none"/>
                <w:lang w:eastAsia="zh-CN"/>
              </w:rPr>
              <w:t>装卸</w:t>
            </w:r>
            <w:r>
              <w:rPr>
                <w:rFonts w:hint="default" w:ascii="Times New Roman" w:hAnsi="Times New Roman" w:cs="Times New Roman"/>
                <w:bCs/>
                <w:color w:val="auto"/>
                <w:spacing w:val="-10"/>
                <w:szCs w:val="21"/>
                <w:highlight w:val="none"/>
              </w:rPr>
              <w:t>过程中基本不会产生粉尘。</w:t>
            </w:r>
          </w:p>
          <w:p w14:paraId="47B6C863">
            <w:pPr>
              <w:adjustRightInd w:val="0"/>
              <w:snapToGrid w:val="0"/>
              <w:spacing w:line="360" w:lineRule="auto"/>
              <w:ind w:firstLine="380" w:firstLineChars="200"/>
              <w:rPr>
                <w:rFonts w:hint="default" w:ascii="Times New Roman" w:hAnsi="Times New Roman" w:cs="Times New Roman"/>
                <w:bCs/>
                <w:color w:val="auto"/>
                <w:spacing w:val="-10"/>
                <w:szCs w:val="21"/>
                <w:highlight w:val="none"/>
                <w:lang w:val="en-US" w:eastAsia="zh-CN"/>
              </w:rPr>
            </w:pPr>
            <w:r>
              <w:rPr>
                <w:rFonts w:hint="default" w:ascii="Times New Roman" w:hAnsi="Times New Roman" w:cs="Times New Roman"/>
                <w:bCs/>
                <w:color w:val="auto"/>
                <w:spacing w:val="-10"/>
                <w:szCs w:val="21"/>
                <w:highlight w:val="none"/>
                <w:lang w:val="en-US" w:eastAsia="zh-CN"/>
              </w:rPr>
              <w:t xml:space="preserve">2）蒸煮异味  </w:t>
            </w:r>
          </w:p>
          <w:p w14:paraId="2E390DC5">
            <w:pPr>
              <w:adjustRightInd w:val="0"/>
              <w:snapToGrid w:val="0"/>
              <w:spacing w:line="360" w:lineRule="auto"/>
              <w:ind w:firstLine="380" w:firstLineChars="200"/>
              <w:rPr>
                <w:rFonts w:hint="default" w:ascii="Times New Roman" w:hAnsi="Times New Roman" w:cs="Times New Roman"/>
                <w:bCs/>
                <w:color w:val="auto"/>
                <w:spacing w:val="-10"/>
                <w:szCs w:val="21"/>
                <w:highlight w:val="none"/>
                <w:lang w:eastAsia="zh-CN"/>
              </w:rPr>
            </w:pPr>
            <w:r>
              <w:rPr>
                <w:rFonts w:hint="default" w:ascii="Times New Roman" w:hAnsi="Times New Roman" w:cs="Times New Roman"/>
                <w:bCs/>
                <w:color w:val="auto"/>
                <w:spacing w:val="-10"/>
                <w:szCs w:val="21"/>
                <w:highlight w:val="none"/>
                <w:lang w:val="en-US" w:eastAsia="zh-CN"/>
              </w:rPr>
              <w:t>本项目玉米蒸煮工序会产生少量异味，本项目运营期产生的异味主要由玉米蒸制加热时热气，因现阶段国家无异味的产排污计算系数，故无法进行定量分析，蒸煮工序产生异味在生产车间内散溢，加强车间通风，定期喷洒除臭剂，蒸煮工序异味对外环境影响较小。</w:t>
            </w:r>
          </w:p>
          <w:p w14:paraId="3B0D8A26">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lang w:val="en-US" w:eastAsia="zh-CN"/>
              </w:rPr>
              <w:t>3</w:t>
            </w:r>
            <w:r>
              <w:rPr>
                <w:rFonts w:hint="default" w:ascii="Times New Roman" w:hAnsi="Times New Roman" w:cs="Times New Roman"/>
                <w:bCs/>
                <w:color w:val="auto"/>
                <w:spacing w:val="-10"/>
                <w:szCs w:val="21"/>
                <w:highlight w:val="none"/>
                <w:lang w:eastAsia="zh-CN"/>
              </w:rPr>
              <w:t>）</w:t>
            </w:r>
            <w:r>
              <w:rPr>
                <w:rFonts w:hint="default" w:ascii="Times New Roman" w:hAnsi="Times New Roman" w:cs="Times New Roman"/>
                <w:bCs/>
                <w:color w:val="auto"/>
                <w:spacing w:val="-10"/>
                <w:szCs w:val="21"/>
                <w:highlight w:val="none"/>
              </w:rPr>
              <w:t>锅炉烟气</w:t>
            </w:r>
          </w:p>
          <w:p w14:paraId="178D9F35">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本项目新建</w:t>
            </w:r>
            <w:r>
              <w:rPr>
                <w:rFonts w:hint="default" w:ascii="Times New Roman" w:hAnsi="Times New Roman" w:cs="Times New Roman"/>
                <w:bCs/>
                <w:color w:val="auto"/>
                <w:spacing w:val="-10"/>
                <w:szCs w:val="21"/>
                <w:highlight w:val="none"/>
                <w:lang w:val="en-US" w:eastAsia="zh-CN"/>
              </w:rPr>
              <w:t>3</w:t>
            </w:r>
            <w:r>
              <w:rPr>
                <w:rFonts w:hint="default" w:ascii="Times New Roman" w:hAnsi="Times New Roman" w:cs="Times New Roman"/>
                <w:bCs/>
                <w:color w:val="auto"/>
                <w:spacing w:val="-10"/>
                <w:szCs w:val="21"/>
                <w:highlight w:val="none"/>
              </w:rPr>
              <w:t>t/h生物质锅炉，锅炉废气中主要污染物为烟尘、SO</w:t>
            </w:r>
            <w:r>
              <w:rPr>
                <w:rFonts w:hint="default" w:ascii="Times New Roman" w:hAnsi="Times New Roman" w:cs="Times New Roman"/>
                <w:bCs/>
                <w:color w:val="auto"/>
                <w:spacing w:val="-10"/>
                <w:szCs w:val="21"/>
                <w:highlight w:val="none"/>
                <w:vertAlign w:val="subscript"/>
              </w:rPr>
              <w:t>2</w:t>
            </w:r>
            <w:r>
              <w:rPr>
                <w:rFonts w:hint="default" w:ascii="Times New Roman" w:hAnsi="Times New Roman" w:cs="Times New Roman"/>
                <w:bCs/>
                <w:color w:val="auto"/>
                <w:spacing w:val="-10"/>
                <w:szCs w:val="21"/>
                <w:highlight w:val="none"/>
              </w:rPr>
              <w:t>、NO</w:t>
            </w:r>
            <w:r>
              <w:rPr>
                <w:rFonts w:hint="default" w:ascii="Times New Roman" w:hAnsi="Times New Roman" w:cs="Times New Roman"/>
                <w:bCs/>
                <w:color w:val="auto"/>
                <w:spacing w:val="-10"/>
                <w:szCs w:val="21"/>
                <w:highlight w:val="none"/>
                <w:vertAlign w:val="subscript"/>
              </w:rPr>
              <w:t>X</w:t>
            </w:r>
            <w:r>
              <w:rPr>
                <w:rFonts w:hint="default" w:ascii="Times New Roman" w:hAnsi="Times New Roman" w:cs="Times New Roman"/>
                <w:bCs/>
                <w:color w:val="auto"/>
                <w:spacing w:val="-10"/>
                <w:szCs w:val="21"/>
                <w:highlight w:val="none"/>
              </w:rPr>
              <w:t>，本项目燃生物质量为</w:t>
            </w:r>
            <w:r>
              <w:rPr>
                <w:rFonts w:hint="default" w:ascii="Times New Roman" w:hAnsi="Times New Roman" w:cs="Times New Roman"/>
                <w:bCs/>
                <w:color w:val="auto"/>
                <w:spacing w:val="-10"/>
                <w:szCs w:val="21"/>
                <w:highlight w:val="none"/>
                <w:lang w:val="en-US" w:eastAsia="zh-CN"/>
              </w:rPr>
              <w:t>306.44t/</w:t>
            </w:r>
            <w:r>
              <w:rPr>
                <w:rFonts w:hint="default" w:ascii="Times New Roman" w:hAnsi="Times New Roman" w:cs="Times New Roman"/>
                <w:bCs/>
                <w:color w:val="auto"/>
                <w:spacing w:val="-10"/>
                <w:szCs w:val="21"/>
                <w:highlight w:val="none"/>
              </w:rPr>
              <w:t>a，锅炉运行时间为</w:t>
            </w:r>
            <w:r>
              <w:rPr>
                <w:rFonts w:hint="default" w:ascii="Times New Roman" w:hAnsi="Times New Roman" w:cs="Times New Roman"/>
                <w:bCs/>
                <w:color w:val="auto"/>
                <w:spacing w:val="-10"/>
                <w:szCs w:val="21"/>
                <w:highlight w:val="none"/>
                <w:lang w:val="en-US" w:eastAsia="zh-CN"/>
              </w:rPr>
              <w:t>480</w:t>
            </w:r>
            <w:r>
              <w:rPr>
                <w:rFonts w:hint="default" w:ascii="Times New Roman" w:hAnsi="Times New Roman" w:cs="Times New Roman"/>
                <w:bCs/>
                <w:color w:val="auto"/>
                <w:spacing w:val="-10"/>
                <w:szCs w:val="21"/>
                <w:highlight w:val="none"/>
              </w:rPr>
              <w:t>h。生物质锅炉烟气经</w:t>
            </w:r>
            <w:r>
              <w:rPr>
                <w:rFonts w:hint="default" w:ascii="Times New Roman" w:hAnsi="Times New Roman" w:cs="Times New Roman"/>
                <w:bCs/>
                <w:color w:val="auto"/>
                <w:spacing w:val="-10"/>
                <w:szCs w:val="21"/>
                <w:highlight w:val="none"/>
                <w:lang w:eastAsia="zh-CN"/>
              </w:rPr>
              <w:t>旋风+</w:t>
            </w:r>
            <w:r>
              <w:rPr>
                <w:rFonts w:hint="default" w:ascii="Times New Roman" w:hAnsi="Times New Roman" w:cs="Times New Roman"/>
                <w:bCs/>
                <w:color w:val="auto"/>
                <w:spacing w:val="-10"/>
                <w:szCs w:val="21"/>
                <w:highlight w:val="none"/>
                <w:lang w:eastAsia="zh-CN"/>
              </w:rPr>
              <w:t>布袋除尘器</w:t>
            </w:r>
            <w:r>
              <w:rPr>
                <w:rFonts w:hint="default" w:ascii="Times New Roman" w:hAnsi="Times New Roman" w:cs="Times New Roman"/>
                <w:bCs/>
                <w:color w:val="auto"/>
                <w:spacing w:val="-10"/>
                <w:szCs w:val="21"/>
                <w:highlight w:val="none"/>
              </w:rPr>
              <w:t>（除尘效率为</w:t>
            </w:r>
            <w:r>
              <w:rPr>
                <w:rFonts w:hint="default" w:ascii="Times New Roman" w:hAnsi="Times New Roman" w:cs="Times New Roman"/>
                <w:bCs/>
                <w:color w:val="auto"/>
                <w:spacing w:val="-10"/>
                <w:szCs w:val="21"/>
                <w:highlight w:val="none"/>
                <w:lang w:eastAsia="zh-CN"/>
              </w:rPr>
              <w:t>99.7</w:t>
            </w:r>
            <w:r>
              <w:rPr>
                <w:rFonts w:hint="default" w:ascii="Times New Roman" w:hAnsi="Times New Roman" w:cs="Times New Roman"/>
                <w:bCs/>
                <w:color w:val="auto"/>
                <w:spacing w:val="-10"/>
                <w:szCs w:val="21"/>
                <w:highlight w:val="none"/>
              </w:rPr>
              <w:t>%）处理后，由</w:t>
            </w:r>
            <w:r>
              <w:rPr>
                <w:rFonts w:hint="default" w:ascii="Times New Roman" w:hAnsi="Times New Roman" w:cs="Times New Roman"/>
                <w:bCs/>
                <w:color w:val="auto"/>
                <w:spacing w:val="-10"/>
                <w:szCs w:val="21"/>
                <w:highlight w:val="none"/>
                <w:lang w:val="en-US" w:eastAsia="zh-CN"/>
              </w:rPr>
              <w:t>30</w:t>
            </w:r>
            <w:r>
              <w:rPr>
                <w:rFonts w:hint="default" w:ascii="Times New Roman" w:hAnsi="Times New Roman" w:cs="Times New Roman"/>
                <w:bCs/>
                <w:color w:val="auto"/>
                <w:spacing w:val="-10"/>
                <w:szCs w:val="21"/>
                <w:highlight w:val="none"/>
              </w:rPr>
              <w:t>米高烟囱排放。</w:t>
            </w:r>
          </w:p>
          <w:p w14:paraId="5F24437C">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Cs w:val="21"/>
                <w:highlight w:val="none"/>
              </w:rPr>
              <w:t>根据《污染源源强核算技术指南 锅炉》（HJ991-2018）及《排污许可证申请与核发技术规范 锅炉》（HJ95</w:t>
            </w:r>
            <w:r>
              <w:rPr>
                <w:rFonts w:hint="default" w:ascii="Times New Roman" w:hAnsi="Times New Roman" w:cs="Times New Roman"/>
                <w:bCs/>
                <w:color w:val="auto"/>
                <w:spacing w:val="-10"/>
                <w:sz w:val="21"/>
                <w:szCs w:val="21"/>
                <w:highlight w:val="none"/>
              </w:rPr>
              <w:t>3-2018）排放量计算过程如下：</w:t>
            </w:r>
          </w:p>
          <w:p w14:paraId="068E5424">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lang w:eastAsia="zh-CN"/>
              </w:rPr>
              <w:t>①</w:t>
            </w:r>
            <w:r>
              <w:rPr>
                <w:rFonts w:hint="default" w:ascii="Times New Roman" w:hAnsi="Times New Roman" w:cs="Times New Roman"/>
                <w:bCs/>
                <w:color w:val="auto"/>
                <w:spacing w:val="-10"/>
                <w:sz w:val="21"/>
                <w:szCs w:val="21"/>
                <w:highlight w:val="none"/>
              </w:rPr>
              <w:t>烟气量</w:t>
            </w:r>
          </w:p>
          <w:p w14:paraId="2826A92F">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lang w:val="en-US" w:eastAsia="zh-CN"/>
              </w:rPr>
            </w:pPr>
            <w:r>
              <w:rPr>
                <w:rFonts w:hint="default" w:ascii="Times New Roman" w:hAnsi="Times New Roman" w:cs="Times New Roman"/>
                <w:bCs/>
                <w:color w:val="auto"/>
                <w:spacing w:val="-10"/>
                <w:sz w:val="21"/>
                <w:szCs w:val="21"/>
                <w:highlight w:val="none"/>
                <w:lang w:val="en-US" w:eastAsia="zh-CN"/>
              </w:rPr>
              <w:t>参照《污染源源强核算技术指南锅炉》（HJ991-2018）附录C中C.5，没有元素分析时，干烟气排放量的经验公式计算参照HJ953，则本项目的干烟气量为</w:t>
            </w:r>
          </w:p>
          <w:p w14:paraId="3746DF9D">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lang w:val="en-US" w:eastAsia="zh-CN"/>
              </w:rPr>
            </w:pPr>
            <w:r>
              <w:rPr>
                <w:rFonts w:hint="default" w:ascii="Times New Roman" w:hAnsi="Times New Roman" w:cs="Times New Roman"/>
                <w:bCs/>
                <w:color w:val="auto"/>
                <w:spacing w:val="-10"/>
                <w:sz w:val="21"/>
                <w:szCs w:val="21"/>
                <w:highlight w:val="none"/>
                <w:lang w:val="en-US" w:eastAsia="zh-CN"/>
              </w:rPr>
              <w:t>Vgy=（0.393×13.865+0.876）Nm</w:t>
            </w:r>
            <w:r>
              <w:rPr>
                <w:rFonts w:hint="default" w:ascii="Times New Roman" w:hAnsi="Times New Roman" w:cs="Times New Roman"/>
                <w:bCs/>
                <w:color w:val="auto"/>
                <w:spacing w:val="-10"/>
                <w:sz w:val="21"/>
                <w:szCs w:val="21"/>
                <w:highlight w:val="none"/>
                <w:vertAlign w:val="superscript"/>
                <w:lang w:val="en-US" w:eastAsia="zh-CN"/>
              </w:rPr>
              <w:t>3</w:t>
            </w:r>
            <w:r>
              <w:rPr>
                <w:rFonts w:hint="default" w:ascii="Times New Roman" w:hAnsi="Times New Roman" w:cs="Times New Roman"/>
                <w:bCs/>
                <w:color w:val="auto"/>
                <w:spacing w:val="-10"/>
                <w:sz w:val="21"/>
                <w:szCs w:val="21"/>
                <w:highlight w:val="none"/>
                <w:lang w:val="en-US" w:eastAsia="zh-CN"/>
              </w:rPr>
              <w:t>/kg×10</w:t>
            </w:r>
            <w:r>
              <w:rPr>
                <w:rFonts w:hint="default" w:ascii="Times New Roman" w:hAnsi="Times New Roman" w:cs="Times New Roman"/>
                <w:bCs/>
                <w:color w:val="auto"/>
                <w:spacing w:val="-10"/>
                <w:sz w:val="21"/>
                <w:szCs w:val="21"/>
                <w:highlight w:val="none"/>
                <w:vertAlign w:val="superscript"/>
                <w:lang w:val="en-US" w:eastAsia="zh-CN"/>
              </w:rPr>
              <w:t>3</w:t>
            </w:r>
            <w:r>
              <w:rPr>
                <w:rFonts w:hint="default" w:ascii="Times New Roman" w:hAnsi="Times New Roman" w:cs="Times New Roman"/>
                <w:bCs/>
                <w:color w:val="auto"/>
                <w:spacing w:val="-10"/>
                <w:sz w:val="21"/>
                <w:szCs w:val="21"/>
                <w:highlight w:val="none"/>
                <w:lang w:val="en-US" w:eastAsia="zh-CN"/>
              </w:rPr>
              <w:t>=6324.9Nm</w:t>
            </w:r>
            <w:r>
              <w:rPr>
                <w:rFonts w:hint="default" w:ascii="Times New Roman" w:hAnsi="Times New Roman" w:cs="Times New Roman"/>
                <w:bCs/>
                <w:color w:val="auto"/>
                <w:spacing w:val="-10"/>
                <w:sz w:val="21"/>
                <w:szCs w:val="21"/>
                <w:highlight w:val="none"/>
                <w:vertAlign w:val="superscript"/>
                <w:lang w:val="en-US" w:eastAsia="zh-CN"/>
              </w:rPr>
              <w:t>3</w:t>
            </w:r>
            <w:r>
              <w:rPr>
                <w:rFonts w:hint="default" w:ascii="Times New Roman" w:hAnsi="Times New Roman" w:cs="Times New Roman"/>
                <w:bCs/>
                <w:color w:val="auto"/>
                <w:spacing w:val="-10"/>
                <w:sz w:val="21"/>
                <w:szCs w:val="21"/>
                <w:highlight w:val="none"/>
                <w:lang w:val="en-US" w:eastAsia="zh-CN"/>
              </w:rPr>
              <w:t>/t，该锅炉燃生物质燃料量为306.44t/a，则烟气量1938216.146Nm</w:t>
            </w:r>
            <w:r>
              <w:rPr>
                <w:rFonts w:hint="default" w:ascii="Times New Roman" w:hAnsi="Times New Roman" w:cs="Times New Roman"/>
                <w:bCs/>
                <w:color w:val="auto"/>
                <w:spacing w:val="-10"/>
                <w:sz w:val="21"/>
                <w:szCs w:val="21"/>
                <w:highlight w:val="none"/>
                <w:vertAlign w:val="superscript"/>
                <w:lang w:val="en-US" w:eastAsia="zh-CN"/>
              </w:rPr>
              <w:t>3</w:t>
            </w:r>
            <w:r>
              <w:rPr>
                <w:rFonts w:hint="default" w:ascii="Times New Roman" w:hAnsi="Times New Roman" w:cs="Times New Roman"/>
                <w:bCs/>
                <w:color w:val="auto"/>
                <w:spacing w:val="-10"/>
                <w:sz w:val="21"/>
                <w:szCs w:val="21"/>
                <w:highlight w:val="none"/>
                <w:lang w:val="en-US" w:eastAsia="zh-CN"/>
              </w:rPr>
              <w:t>/a。</w:t>
            </w:r>
          </w:p>
          <w:p w14:paraId="07249F3C">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经计算，本项目生物质燃烧</w:t>
            </w:r>
            <w:r>
              <w:rPr>
                <w:rFonts w:hint="default" w:ascii="Times New Roman" w:hAnsi="Times New Roman" w:cs="Times New Roman"/>
                <w:bCs/>
                <w:color w:val="auto"/>
                <w:spacing w:val="-10"/>
                <w:sz w:val="21"/>
                <w:szCs w:val="21"/>
                <w:highlight w:val="none"/>
                <w:lang w:eastAsia="zh-CN"/>
              </w:rPr>
              <w:t>产生的</w:t>
            </w:r>
            <w:r>
              <w:rPr>
                <w:rFonts w:hint="default" w:ascii="Times New Roman" w:hAnsi="Times New Roman" w:cs="Times New Roman"/>
                <w:bCs/>
                <w:color w:val="auto"/>
                <w:spacing w:val="-10"/>
                <w:sz w:val="21"/>
                <w:szCs w:val="21"/>
                <w:highlight w:val="none"/>
              </w:rPr>
              <w:t>烟气量为</w:t>
            </w:r>
            <w:r>
              <w:rPr>
                <w:rFonts w:hint="default" w:ascii="Times New Roman" w:hAnsi="Times New Roman" w:cs="Times New Roman"/>
                <w:bCs/>
                <w:color w:val="auto"/>
                <w:spacing w:val="-10"/>
                <w:sz w:val="21"/>
                <w:szCs w:val="21"/>
                <w:highlight w:val="none"/>
                <w:lang w:val="en-US" w:eastAsia="zh-CN"/>
              </w:rPr>
              <w:t>1.94×106</w:t>
            </w:r>
            <w:r>
              <w:rPr>
                <w:rFonts w:hint="default" w:ascii="Times New Roman" w:hAnsi="Times New Roman" w:cs="Times New Roman"/>
                <w:bCs/>
                <w:color w:val="auto"/>
                <w:spacing w:val="-10"/>
                <w:sz w:val="21"/>
                <w:szCs w:val="21"/>
                <w:highlight w:val="none"/>
              </w:rPr>
              <w:t>m</w:t>
            </w:r>
            <w:r>
              <w:rPr>
                <w:rFonts w:hint="default" w:ascii="Times New Roman" w:hAnsi="Times New Roman" w:cs="Times New Roman"/>
                <w:bCs/>
                <w:color w:val="auto"/>
                <w:spacing w:val="-10"/>
                <w:sz w:val="21"/>
                <w:szCs w:val="21"/>
                <w:highlight w:val="none"/>
                <w:vertAlign w:val="superscript"/>
              </w:rPr>
              <w:t>3</w:t>
            </w:r>
            <w:r>
              <w:rPr>
                <w:rFonts w:hint="default" w:ascii="Times New Roman" w:hAnsi="Times New Roman" w:cs="Times New Roman"/>
                <w:bCs/>
                <w:color w:val="auto"/>
                <w:spacing w:val="-10"/>
                <w:sz w:val="21"/>
                <w:szCs w:val="21"/>
                <w:highlight w:val="none"/>
              </w:rPr>
              <w:t>/a。</w:t>
            </w:r>
          </w:p>
          <w:p w14:paraId="0A5DD7DA">
            <w:pPr>
              <w:spacing w:line="360" w:lineRule="auto"/>
              <w:ind w:firstLine="420" w:firstLineChars="200"/>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②SO</w:t>
            </w:r>
            <w:r>
              <w:rPr>
                <w:rFonts w:hint="default" w:ascii="Times New Roman" w:hAnsi="Times New Roman" w:eastAsia="宋体" w:cs="Times New Roman"/>
                <w:color w:val="auto"/>
                <w:sz w:val="21"/>
                <w:szCs w:val="21"/>
                <w:highlight w:val="none"/>
                <w:vertAlign w:val="subscript"/>
              </w:rPr>
              <w:t>2</w:t>
            </w:r>
          </w:p>
          <w:p w14:paraId="23205A3D">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排放量按如下公式计算：</w:t>
            </w:r>
          </w:p>
          <w:p w14:paraId="168B4564">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INCLUDEPICTURE "C:\\Users\\admin\\AppData\\Local\\Temp\\ksohtml23920\\wps5.png" \* MERGEFORMATINET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drawing>
                <wp:inline distT="0" distB="0" distL="114300" distR="114300">
                  <wp:extent cx="2608580" cy="485775"/>
                  <wp:effectExtent l="0" t="0" r="1270" b="9525"/>
                  <wp:docPr id="49" name="图片 10"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wps5"/>
                          <pic:cNvPicPr>
                            <a:picLocks noChangeAspect="1"/>
                          </pic:cNvPicPr>
                        </pic:nvPicPr>
                        <pic:blipFill>
                          <a:blip r:embed="rId17"/>
                          <a:stretch>
                            <a:fillRect/>
                          </a:stretch>
                        </pic:blipFill>
                        <pic:spPr>
                          <a:xfrm>
                            <a:off x="0" y="0"/>
                            <a:ext cx="2608580" cy="485775"/>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fldChar w:fldCharType="end"/>
            </w:r>
          </w:p>
          <w:p w14:paraId="1E09CBE1">
            <w:pPr>
              <w:spacing w:line="360" w:lineRule="auto"/>
              <w:ind w:firstLine="840" w:firstLineChars="4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w:t>
            </w:r>
          </w:p>
          <w:p w14:paraId="6999DA48">
            <w:pPr>
              <w:spacing w:line="360" w:lineRule="auto"/>
              <w:ind w:firstLine="840" w:firstLineChars="4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w:t>
            </w:r>
            <w:r>
              <w:rPr>
                <w:rFonts w:hint="default" w:ascii="Times New Roman" w:hAnsi="Times New Roman" w:eastAsia="宋体" w:cs="Times New Roman"/>
                <w:color w:val="auto"/>
                <w:sz w:val="21"/>
                <w:szCs w:val="21"/>
                <w:highlight w:val="none"/>
                <w:vertAlign w:val="subscript"/>
              </w:rPr>
              <w:t>SO2</w:t>
            </w:r>
            <w:r>
              <w:rPr>
                <w:rFonts w:hint="default" w:ascii="Times New Roman" w:hAnsi="Times New Roman" w:eastAsia="宋体" w:cs="Times New Roman"/>
                <w:color w:val="auto"/>
                <w:sz w:val="21"/>
                <w:szCs w:val="21"/>
                <w:highlight w:val="none"/>
              </w:rPr>
              <w:t>——核算时段内二氧化硫排放量；</w:t>
            </w:r>
            <w:r>
              <w:rPr>
                <w:rFonts w:hint="default" w:ascii="Times New Roman" w:hAnsi="Times New Roman" w:cs="Times New Roman"/>
                <w:sz w:val="21"/>
                <w:szCs w:val="21"/>
                <w:highlight w:val="none"/>
              </w:rPr>
              <w:t>t，本项目核算时段取1</w:t>
            </w:r>
            <w:r>
              <w:rPr>
                <w:rFonts w:hint="default" w:ascii="Times New Roman" w:hAnsi="Times New Roman" w:cs="Times New Roman"/>
                <w:sz w:val="21"/>
                <w:szCs w:val="21"/>
                <w:highlight w:val="none"/>
                <w:lang w:val="en-US" w:eastAsia="zh-CN"/>
              </w:rPr>
              <w:t>a</w:t>
            </w:r>
            <w:r>
              <w:rPr>
                <w:rFonts w:hint="default" w:ascii="Times New Roman" w:hAnsi="Times New Roman" w:cs="Times New Roman"/>
                <w:sz w:val="21"/>
                <w:szCs w:val="21"/>
                <w:highlight w:val="none"/>
              </w:rPr>
              <w:t>；</w:t>
            </w:r>
          </w:p>
          <w:p w14:paraId="53981121">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R——核算时段内锅炉燃料耗量；</w:t>
            </w:r>
          </w:p>
          <w:p w14:paraId="164AF681">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Sar——收到基硫的质量分数；</w:t>
            </w:r>
            <w:r>
              <w:rPr>
                <w:rFonts w:hint="default" w:ascii="Times New Roman" w:hAnsi="Times New Roman" w:cs="Times New Roman"/>
                <w:kern w:val="0"/>
                <w:sz w:val="21"/>
                <w:szCs w:val="21"/>
                <w:highlight w:val="none"/>
              </w:rPr>
              <w:t>本次评价取值</w:t>
            </w:r>
            <w:r>
              <w:rPr>
                <w:rFonts w:hint="default" w:ascii="Times New Roman" w:hAnsi="Times New Roman" w:cs="Times New Roman"/>
                <w:kern w:val="0"/>
                <w:sz w:val="21"/>
                <w:szCs w:val="21"/>
                <w:highlight w:val="none"/>
                <w:lang w:val="en-US" w:eastAsia="zh-CN"/>
              </w:rPr>
              <w:t>0.06</w:t>
            </w:r>
            <w:r>
              <w:rPr>
                <w:rFonts w:hint="default" w:ascii="Times New Roman" w:hAnsi="Times New Roman" w:cs="Times New Roman"/>
                <w:kern w:val="0"/>
                <w:sz w:val="21"/>
                <w:szCs w:val="21"/>
                <w:highlight w:val="none"/>
              </w:rPr>
              <w:t>%；</w:t>
            </w:r>
          </w:p>
          <w:p w14:paraId="51547C2E">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q</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rPr>
              <w:t>——锅炉机械不完全燃烧热损失</w:t>
            </w:r>
            <w:r>
              <w:rPr>
                <w:rFonts w:hint="default" w:ascii="Times New Roman" w:hAnsi="Times New Roman" w:cs="Times New Roman"/>
                <w:sz w:val="21"/>
                <w:szCs w:val="21"/>
                <w:highlight w:val="none"/>
              </w:rPr>
              <w:t>，</w:t>
            </w:r>
            <w:r>
              <w:rPr>
                <w:rFonts w:hint="default" w:ascii="Times New Roman" w:hAnsi="Times New Roman" w:cs="Times New Roman"/>
                <w:bCs/>
                <w:sz w:val="21"/>
                <w:szCs w:val="21"/>
                <w:highlight w:val="none"/>
              </w:rPr>
              <w:t>（链条炉排不完全燃烧热损失5%-15%）</w:t>
            </w:r>
            <w:r>
              <w:rPr>
                <w:rFonts w:hint="default" w:ascii="Times New Roman" w:hAnsi="Times New Roman" w:cs="Times New Roman"/>
                <w:sz w:val="21"/>
                <w:szCs w:val="21"/>
                <w:highlight w:val="none"/>
              </w:rPr>
              <w:t>取10%；</w:t>
            </w:r>
          </w:p>
          <w:p w14:paraId="7C46A823">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η</w:t>
            </w:r>
            <w:r>
              <w:rPr>
                <w:rFonts w:hint="default" w:ascii="Times New Roman" w:hAnsi="Times New Roman" w:eastAsia="宋体" w:cs="Times New Roman"/>
                <w:color w:val="auto"/>
                <w:sz w:val="21"/>
                <w:szCs w:val="21"/>
                <w:highlight w:val="none"/>
                <w:vertAlign w:val="subscript"/>
              </w:rPr>
              <w:t>s</w:t>
            </w:r>
            <w:r>
              <w:rPr>
                <w:rFonts w:hint="default" w:ascii="Times New Roman" w:hAnsi="Times New Roman" w:eastAsia="宋体" w:cs="Times New Roman"/>
                <w:color w:val="auto"/>
                <w:sz w:val="21"/>
                <w:szCs w:val="21"/>
                <w:highlight w:val="none"/>
              </w:rPr>
              <w:t>——脱硫效率；</w:t>
            </w:r>
            <w:r>
              <w:rPr>
                <w:rFonts w:hint="default" w:ascii="Times New Roman" w:hAnsi="Times New Roman" w:cs="Times New Roman"/>
                <w:kern w:val="0"/>
                <w:sz w:val="21"/>
                <w:szCs w:val="21"/>
                <w:highlight w:val="none"/>
              </w:rPr>
              <w:t>本次评价取值</w:t>
            </w:r>
            <w:r>
              <w:rPr>
                <w:rFonts w:hint="default" w:ascii="Times New Roman" w:hAnsi="Times New Roman" w:cs="Times New Roman"/>
                <w:kern w:val="0"/>
                <w:sz w:val="21"/>
                <w:szCs w:val="21"/>
                <w:highlight w:val="none"/>
                <w:lang w:val="en-US" w:eastAsia="zh-CN"/>
              </w:rPr>
              <w:t>0</w:t>
            </w:r>
            <w:r>
              <w:rPr>
                <w:rFonts w:hint="default" w:ascii="Times New Roman" w:hAnsi="Times New Roman" w:cs="Times New Roman"/>
                <w:kern w:val="0"/>
                <w:sz w:val="21"/>
                <w:szCs w:val="21"/>
                <w:highlight w:val="none"/>
              </w:rPr>
              <w:t>%；</w:t>
            </w:r>
          </w:p>
          <w:p w14:paraId="68276936">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K——燃料中的硫燃烧后氧化成二氧化硫的份额，量纲一的量；</w:t>
            </w:r>
          </w:p>
          <w:p w14:paraId="06F09963">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③颗粒物（烟尘）</w:t>
            </w:r>
          </w:p>
          <w:p w14:paraId="2A4E9C39">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颗粒物排放量按如下公式计算：</w:t>
            </w:r>
          </w:p>
          <w:p w14:paraId="6C496C4A">
            <w:pPr>
              <w:widowControl/>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INCLUDEPICTURE "C:\\Users\\admin\\AppData\\Local\\Temp\\ksohtml23920\\wps6.jpg" \* MERGEFORMATINET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drawing>
                <wp:inline distT="0" distB="0" distL="114300" distR="114300">
                  <wp:extent cx="2076450" cy="713105"/>
                  <wp:effectExtent l="0" t="0" r="0" b="10795"/>
                  <wp:docPr id="50" name="图片 11"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wps6"/>
                          <pic:cNvPicPr>
                            <a:picLocks noChangeAspect="1"/>
                          </pic:cNvPicPr>
                        </pic:nvPicPr>
                        <pic:blipFill>
                          <a:blip r:embed="rId18"/>
                          <a:stretch>
                            <a:fillRect/>
                          </a:stretch>
                        </pic:blipFill>
                        <pic:spPr>
                          <a:xfrm>
                            <a:off x="0" y="0"/>
                            <a:ext cx="2076450" cy="713105"/>
                          </a:xfrm>
                          <a:prstGeom prst="rect">
                            <a:avLst/>
                          </a:prstGeom>
                          <a:noFill/>
                          <a:ln>
                            <a:noFill/>
                          </a:ln>
                        </pic:spPr>
                      </pic:pic>
                    </a:graphicData>
                  </a:graphic>
                </wp:inline>
              </w:drawing>
            </w:r>
            <w:r>
              <w:rPr>
                <w:rFonts w:hint="default" w:ascii="Times New Roman" w:hAnsi="Times New Roman" w:eastAsia="宋体" w:cs="Times New Roman"/>
                <w:color w:val="auto"/>
                <w:sz w:val="21"/>
                <w:szCs w:val="21"/>
                <w:highlight w:val="none"/>
              </w:rPr>
              <w:fldChar w:fldCharType="end"/>
            </w:r>
          </w:p>
          <w:p w14:paraId="7256696E">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式中：E</w:t>
            </w:r>
            <w:r>
              <w:rPr>
                <w:rFonts w:hint="default" w:ascii="Times New Roman" w:hAnsi="Times New Roman" w:eastAsia="宋体" w:cs="Times New Roman"/>
                <w:color w:val="auto"/>
                <w:sz w:val="21"/>
                <w:szCs w:val="21"/>
                <w:highlight w:val="none"/>
                <w:vertAlign w:val="subscript"/>
              </w:rPr>
              <w:t>A</w:t>
            </w:r>
            <w:r>
              <w:rPr>
                <w:rFonts w:hint="default" w:ascii="Times New Roman" w:hAnsi="Times New Roman" w:eastAsia="宋体" w:cs="Times New Roman"/>
                <w:color w:val="auto"/>
                <w:sz w:val="21"/>
                <w:szCs w:val="21"/>
                <w:highlight w:val="none"/>
              </w:rPr>
              <w:t>——核算时段内颗粒物（烟尘）排放量；</w:t>
            </w:r>
          </w:p>
          <w:p w14:paraId="4613028F">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      R——核算时段内锅炉燃料耗量；</w:t>
            </w:r>
          </w:p>
          <w:p w14:paraId="2B4625F6">
            <w:pPr>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eastAsia="宋体" w:cs="Times New Roman"/>
                <w:color w:val="auto"/>
                <w:sz w:val="21"/>
                <w:szCs w:val="21"/>
                <w:highlight w:val="none"/>
              </w:rPr>
              <w:t xml:space="preserve">      </w:t>
            </w:r>
            <w:r>
              <w:rPr>
                <w:rFonts w:hint="default" w:ascii="Times New Roman" w:hAnsi="Times New Roman" w:cs="Times New Roman"/>
                <w:sz w:val="21"/>
                <w:szCs w:val="21"/>
                <w:highlight w:val="none"/>
              </w:rPr>
              <w:t>Aar——收到基灰分的质量分数%；</w:t>
            </w:r>
            <w:r>
              <w:rPr>
                <w:rFonts w:hint="default" w:ascii="Times New Roman" w:hAnsi="Times New Roman" w:cs="Times New Roman"/>
                <w:kern w:val="0"/>
                <w:sz w:val="21"/>
                <w:szCs w:val="21"/>
                <w:highlight w:val="none"/>
              </w:rPr>
              <w:t>本次评价取值</w:t>
            </w:r>
            <w:r>
              <w:rPr>
                <w:rFonts w:hint="default" w:ascii="Times New Roman" w:hAnsi="Times New Roman" w:cs="Times New Roman"/>
                <w:kern w:val="0"/>
                <w:sz w:val="21"/>
                <w:szCs w:val="21"/>
                <w:highlight w:val="none"/>
                <w:lang w:val="en-US" w:eastAsia="zh-CN"/>
              </w:rPr>
              <w:t>12.96</w:t>
            </w:r>
            <w:r>
              <w:rPr>
                <w:rFonts w:hint="default" w:ascii="Times New Roman" w:hAnsi="Times New Roman" w:cs="Times New Roman"/>
                <w:kern w:val="0"/>
                <w:sz w:val="21"/>
                <w:szCs w:val="21"/>
                <w:highlight w:val="none"/>
              </w:rPr>
              <w:t>%；</w:t>
            </w:r>
          </w:p>
          <w:p w14:paraId="46DB3BC9">
            <w:pPr>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d</w:t>
            </w:r>
            <w:r>
              <w:rPr>
                <w:rFonts w:hint="default" w:ascii="Times New Roman" w:hAnsi="Times New Roman" w:cs="Times New Roman"/>
                <w:sz w:val="21"/>
                <w:szCs w:val="21"/>
                <w:highlight w:val="none"/>
                <w:vertAlign w:val="subscript"/>
              </w:rPr>
              <w:t>fh</w:t>
            </w:r>
            <w:r>
              <w:rPr>
                <w:rFonts w:hint="default" w:ascii="Times New Roman" w:hAnsi="Times New Roman" w:cs="Times New Roman"/>
                <w:sz w:val="21"/>
                <w:szCs w:val="21"/>
                <w:highlight w:val="none"/>
              </w:rPr>
              <w:t>——锅炉烟气带出的飞灰份额</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w:t>
            </w:r>
            <w:r>
              <w:rPr>
                <w:rFonts w:hint="default" w:ascii="Times New Roman" w:hAnsi="Times New Roman" w:cs="Times New Roman"/>
                <w:bCs/>
                <w:sz w:val="21"/>
                <w:szCs w:val="21"/>
                <w:highlight w:val="none"/>
              </w:rPr>
              <w:t>（链条炉排灰分份额为10%-20%，燃生物质时飞灰份额加30%，本项目取10%，则最终灰分份额取40%）</w:t>
            </w:r>
            <w:r>
              <w:rPr>
                <w:rFonts w:hint="default" w:ascii="Times New Roman" w:hAnsi="Times New Roman" w:cs="Times New Roman"/>
                <w:sz w:val="21"/>
                <w:szCs w:val="21"/>
                <w:highlight w:val="none"/>
              </w:rPr>
              <w:t>；</w:t>
            </w:r>
          </w:p>
          <w:p w14:paraId="7171DBB1">
            <w:pPr>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η</w:t>
            </w:r>
            <w:r>
              <w:rPr>
                <w:rFonts w:hint="default" w:ascii="Times New Roman" w:hAnsi="Times New Roman" w:cs="Times New Roman"/>
                <w:sz w:val="21"/>
                <w:szCs w:val="21"/>
                <w:highlight w:val="none"/>
                <w:vertAlign w:val="subscript"/>
              </w:rPr>
              <w:t>c</w:t>
            </w:r>
            <w:r>
              <w:rPr>
                <w:rFonts w:hint="default" w:ascii="Times New Roman" w:hAnsi="Times New Roman" w:cs="Times New Roman"/>
                <w:sz w:val="21"/>
                <w:szCs w:val="21"/>
                <w:highlight w:val="none"/>
              </w:rPr>
              <w:t>——综合除尘效率；</w:t>
            </w:r>
            <w:r>
              <w:rPr>
                <w:rFonts w:hint="default" w:ascii="Times New Roman" w:hAnsi="Times New Roman" w:cs="Times New Roman"/>
                <w:kern w:val="0"/>
                <w:sz w:val="21"/>
                <w:szCs w:val="21"/>
                <w:highlight w:val="none"/>
                <w:lang w:val="en-US" w:eastAsia="zh-CN"/>
              </w:rPr>
              <w:t>99.7%</w:t>
            </w:r>
            <w:r>
              <w:rPr>
                <w:rFonts w:hint="default" w:ascii="Times New Roman" w:hAnsi="Times New Roman" w:cs="Times New Roman"/>
                <w:kern w:val="0"/>
                <w:sz w:val="21"/>
                <w:szCs w:val="21"/>
                <w:highlight w:val="none"/>
              </w:rPr>
              <w:t>；</w:t>
            </w:r>
          </w:p>
          <w:p w14:paraId="18F373F0">
            <w:pPr>
              <w:adjustRightInd w:val="0"/>
              <w:snapToGrid w:val="0"/>
              <w:spacing w:line="360" w:lineRule="auto"/>
              <w:ind w:firstLine="420" w:firstLineChars="200"/>
              <w:rPr>
                <w:rFonts w:hint="default" w:ascii="Times New Roman" w:hAnsi="Times New Roman" w:cs="Times New Roman"/>
                <w:kern w:val="0"/>
                <w:sz w:val="21"/>
                <w:szCs w:val="21"/>
                <w:highlight w:val="none"/>
              </w:rPr>
            </w:pPr>
            <w:r>
              <w:rPr>
                <w:rFonts w:hint="default" w:ascii="Times New Roman" w:hAnsi="Times New Roman" w:cs="Times New Roman"/>
                <w:sz w:val="21"/>
                <w:szCs w:val="21"/>
                <w:highlight w:val="none"/>
              </w:rPr>
              <w:t xml:space="preserve">      C</w:t>
            </w:r>
            <w:r>
              <w:rPr>
                <w:rFonts w:hint="default" w:ascii="Times New Roman" w:hAnsi="Times New Roman" w:cs="Times New Roman"/>
                <w:sz w:val="21"/>
                <w:szCs w:val="21"/>
                <w:highlight w:val="none"/>
                <w:vertAlign w:val="subscript"/>
              </w:rPr>
              <w:t>fh</w:t>
            </w:r>
            <w:r>
              <w:rPr>
                <w:rFonts w:hint="default" w:ascii="Times New Roman" w:hAnsi="Times New Roman" w:cs="Times New Roman"/>
                <w:sz w:val="21"/>
                <w:szCs w:val="21"/>
                <w:highlight w:val="none"/>
              </w:rPr>
              <w:t>——飞灰中的可燃物含量；</w:t>
            </w:r>
            <w:r>
              <w:rPr>
                <w:rFonts w:hint="default" w:ascii="Times New Roman" w:hAnsi="Times New Roman" w:cs="Times New Roman"/>
                <w:kern w:val="0"/>
                <w:sz w:val="21"/>
                <w:szCs w:val="21"/>
                <w:highlight w:val="none"/>
              </w:rPr>
              <w:t>本次评价取值</w:t>
            </w:r>
            <w:r>
              <w:rPr>
                <w:rFonts w:hint="default" w:ascii="Times New Roman" w:hAnsi="Times New Roman" w:cs="Times New Roman"/>
                <w:kern w:val="0"/>
                <w:sz w:val="21"/>
                <w:szCs w:val="21"/>
                <w:highlight w:val="none"/>
                <w:lang w:val="en-US" w:eastAsia="zh-CN"/>
              </w:rPr>
              <w:t>10</w:t>
            </w:r>
            <w:r>
              <w:rPr>
                <w:rFonts w:hint="default" w:ascii="Times New Roman" w:hAnsi="Times New Roman" w:cs="Times New Roman"/>
                <w:kern w:val="0"/>
                <w:sz w:val="21"/>
                <w:szCs w:val="21"/>
                <w:highlight w:val="none"/>
              </w:rPr>
              <w:t>%；</w:t>
            </w:r>
          </w:p>
          <w:p w14:paraId="5B3A8714">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④氮氧化物排放量</w:t>
            </w:r>
          </w:p>
          <w:p w14:paraId="3FB419B1">
            <w:pPr>
              <w:adjustRightInd w:val="0"/>
              <w:snapToGrid w:val="0"/>
              <w:spacing w:line="360" w:lineRule="auto"/>
              <w:ind w:firstLine="480" w:firstLineChars="200"/>
              <w:jc w:val="center"/>
              <w:rPr>
                <w:rFonts w:hint="default" w:ascii="Times New Roman" w:hAnsi="Times New Roman" w:cs="Times New Roman"/>
                <w:bCs/>
                <w:color w:val="auto"/>
                <w:spacing w:val="-10"/>
                <w:szCs w:val="21"/>
                <w:highlight w:val="none"/>
              </w:rPr>
            </w:pPr>
            <w:r>
              <w:rPr>
                <w:rFonts w:hint="default" w:ascii="Times New Roman" w:hAnsi="Times New Roman" w:cs="Times New Roman"/>
                <w:color w:val="auto"/>
                <w:sz w:val="24"/>
                <w:szCs w:val="24"/>
                <w:highlight w:val="none"/>
              </w:rPr>
              <w:object>
                <v:shape id="_x0000_i1029" o:spt="75" type="#_x0000_t75" style="height:34.5pt;width:159.75pt;" o:ole="t" filled="f" o:preferrelative="t" stroked="f" coordsize="21600,21600">
                  <v:path/>
                  <v:fill on="f" focussize="0,0"/>
                  <v:stroke on="f"/>
                  <v:imagedata r:id="rId20" o:title=""/>
                  <o:lock v:ext="edit" aspectratio="t"/>
                  <w10:wrap type="none"/>
                  <w10:anchorlock/>
                </v:shape>
                <o:OLEObject Type="Embed" ProgID="Equations" ShapeID="_x0000_i1029" DrawAspect="Content" ObjectID="_1468075729" r:id="rId19">
                  <o:LockedField>false</o:LockedField>
                </o:OLEObject>
              </w:object>
            </w:r>
          </w:p>
          <w:p w14:paraId="565E73EA">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式中：ENOx——核算时段内氮氧化物排放量，t/a；</w:t>
            </w:r>
          </w:p>
          <w:p w14:paraId="53CA1576">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ρNOx——锅炉炉膛出口NOx质量浓度，mg/m</w:t>
            </w:r>
            <w:r>
              <w:rPr>
                <w:rFonts w:hint="default" w:ascii="Times New Roman" w:hAnsi="Times New Roman" w:cs="Times New Roman"/>
                <w:bCs/>
                <w:color w:val="auto"/>
                <w:spacing w:val="-10"/>
                <w:szCs w:val="21"/>
                <w:highlight w:val="none"/>
                <w:vertAlign w:val="superscript"/>
              </w:rPr>
              <w:t>3</w:t>
            </w:r>
            <w:r>
              <w:rPr>
                <w:rFonts w:hint="default" w:ascii="Times New Roman" w:hAnsi="Times New Roman" w:cs="Times New Roman"/>
                <w:bCs/>
                <w:color w:val="auto"/>
                <w:spacing w:val="-10"/>
                <w:szCs w:val="21"/>
                <w:highlight w:val="none"/>
              </w:rPr>
              <w:t>；</w:t>
            </w:r>
          </w:p>
          <w:p w14:paraId="1280C953">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Q——核算时段内标态干烟气排放量；</w:t>
            </w:r>
          </w:p>
          <w:p w14:paraId="28A2DD51">
            <w:pPr>
              <w:adjustRightInd w:val="0"/>
              <w:snapToGrid w:val="0"/>
              <w:spacing w:line="360" w:lineRule="auto"/>
              <w:ind w:firstLine="380" w:firstLineChars="200"/>
              <w:rPr>
                <w:rFonts w:hint="default" w:ascii="Times New Roman" w:hAnsi="Times New Roman" w:cs="Times New Roman"/>
                <w:bCs/>
                <w:color w:val="auto"/>
                <w:spacing w:val="-10"/>
                <w:szCs w:val="21"/>
                <w:highlight w:val="none"/>
              </w:rPr>
            </w:pPr>
            <w:r>
              <w:rPr>
                <w:rFonts w:hint="default" w:ascii="Times New Roman" w:hAnsi="Times New Roman" w:cs="Times New Roman"/>
                <w:bCs/>
                <w:color w:val="auto"/>
                <w:spacing w:val="-10"/>
                <w:szCs w:val="21"/>
                <w:highlight w:val="none"/>
              </w:rPr>
              <w:t>ηs——脱硝效率，%；</w:t>
            </w:r>
          </w:p>
          <w:p w14:paraId="0158DF97">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Cs w:val="21"/>
                <w:highlight w:val="none"/>
              </w:rPr>
              <w:t>本项目锅炉出口NOx产生浓度无法估算，故氮氧化物采用系数法核算（无实测值无法采用类比法，无法用物料衡算），根据《排污许可证申请与核发技术规范 锅炉》表F.4 燃生物质工业锅炉的</w:t>
            </w:r>
            <w:r>
              <w:rPr>
                <w:rFonts w:hint="default" w:ascii="Times New Roman" w:hAnsi="Times New Roman" w:cs="Times New Roman"/>
                <w:bCs/>
                <w:color w:val="auto"/>
                <w:spacing w:val="-10"/>
                <w:sz w:val="21"/>
                <w:szCs w:val="21"/>
                <w:highlight w:val="none"/>
              </w:rPr>
              <w:t>废气排污系数（续），室燃炉-氮氧化物产排污系数1.02kg/吨燃料。</w:t>
            </w:r>
            <w:r>
              <w:rPr>
                <w:rFonts w:hint="default" w:ascii="Times New Roman" w:hAnsi="Times New Roman" w:cs="Times New Roman"/>
                <w:bCs/>
                <w:color w:val="auto"/>
                <w:spacing w:val="-10"/>
                <w:sz w:val="21"/>
                <w:szCs w:val="21"/>
                <w:highlight w:val="none"/>
                <w:lang w:val="en-US" w:eastAsia="zh-CN"/>
              </w:rPr>
              <w:t>3</w:t>
            </w:r>
            <w:r>
              <w:rPr>
                <w:rFonts w:hint="default" w:ascii="Times New Roman" w:hAnsi="Times New Roman" w:cs="Times New Roman"/>
                <w:bCs/>
                <w:color w:val="auto"/>
                <w:spacing w:val="-10"/>
                <w:sz w:val="21"/>
                <w:szCs w:val="21"/>
                <w:highlight w:val="none"/>
              </w:rPr>
              <w:t>t/h生</w:t>
            </w:r>
            <w:r>
              <w:rPr>
                <w:rFonts w:hint="default" w:ascii="Times New Roman" w:hAnsi="Times New Roman" w:cs="Times New Roman"/>
                <w:bCs/>
                <w:color w:val="auto"/>
                <w:spacing w:val="-10"/>
                <w:sz w:val="21"/>
                <w:szCs w:val="21"/>
                <w:highlight w:val="none"/>
              </w:rPr>
              <w:t>物质锅炉氮氧化物产生量=1.02×</w:t>
            </w:r>
            <w:r>
              <w:rPr>
                <w:rFonts w:hint="default" w:ascii="Times New Roman" w:hAnsi="Times New Roman" w:cs="Times New Roman"/>
                <w:bCs/>
                <w:color w:val="auto"/>
                <w:spacing w:val="-10"/>
                <w:sz w:val="21"/>
                <w:szCs w:val="21"/>
                <w:highlight w:val="none"/>
                <w:lang w:val="en-US" w:eastAsia="zh-CN"/>
              </w:rPr>
              <w:t>306.44</w:t>
            </w:r>
            <w:r>
              <w:rPr>
                <w:rFonts w:hint="default" w:ascii="Times New Roman" w:hAnsi="Times New Roman" w:cs="Times New Roman"/>
                <w:bCs/>
                <w:color w:val="auto"/>
                <w:spacing w:val="-10"/>
                <w:sz w:val="21"/>
                <w:szCs w:val="21"/>
                <w:highlight w:val="none"/>
              </w:rPr>
              <w:t>×10</w:t>
            </w:r>
            <w:r>
              <w:rPr>
                <w:rFonts w:hint="default" w:ascii="Times New Roman" w:hAnsi="Times New Roman" w:cs="Times New Roman"/>
                <w:bCs/>
                <w:color w:val="auto"/>
                <w:spacing w:val="-10"/>
                <w:sz w:val="21"/>
                <w:szCs w:val="21"/>
                <w:highlight w:val="none"/>
                <w:vertAlign w:val="superscript"/>
              </w:rPr>
              <w:t>-3</w:t>
            </w:r>
            <w:r>
              <w:rPr>
                <w:rFonts w:hint="default" w:ascii="Times New Roman" w:hAnsi="Times New Roman" w:cs="Times New Roman"/>
                <w:bCs/>
                <w:color w:val="auto"/>
                <w:spacing w:val="-10"/>
                <w:sz w:val="21"/>
                <w:szCs w:val="21"/>
                <w:highlight w:val="none"/>
              </w:rPr>
              <w:t>=0.</w:t>
            </w:r>
            <w:r>
              <w:rPr>
                <w:rFonts w:hint="default" w:ascii="Times New Roman" w:hAnsi="Times New Roman" w:cs="Times New Roman"/>
                <w:bCs/>
                <w:color w:val="auto"/>
                <w:spacing w:val="-10"/>
                <w:sz w:val="21"/>
                <w:szCs w:val="21"/>
                <w:highlight w:val="none"/>
                <w:lang w:val="en-US" w:eastAsia="zh-CN"/>
              </w:rPr>
              <w:t>31t</w:t>
            </w:r>
            <w:r>
              <w:rPr>
                <w:rFonts w:hint="default" w:ascii="Times New Roman" w:hAnsi="Times New Roman" w:cs="Times New Roman"/>
                <w:bCs/>
                <w:color w:val="auto"/>
                <w:spacing w:val="-10"/>
                <w:sz w:val="21"/>
                <w:szCs w:val="21"/>
                <w:highlight w:val="none"/>
              </w:rPr>
              <w:t>/a，则</w:t>
            </w:r>
            <w:r>
              <w:rPr>
                <w:rFonts w:hint="default" w:ascii="Times New Roman" w:hAnsi="Times New Roman" w:cs="Times New Roman"/>
                <w:bCs/>
                <w:color w:val="auto"/>
                <w:spacing w:val="-10"/>
                <w:sz w:val="21"/>
                <w:szCs w:val="21"/>
                <w:highlight w:val="none"/>
                <w:lang w:val="en-US" w:eastAsia="zh-CN"/>
              </w:rPr>
              <w:t>3t</w:t>
            </w:r>
            <w:r>
              <w:rPr>
                <w:rFonts w:hint="default" w:ascii="Times New Roman" w:hAnsi="Times New Roman" w:cs="Times New Roman"/>
                <w:bCs/>
                <w:color w:val="auto"/>
                <w:spacing w:val="-10"/>
                <w:sz w:val="21"/>
                <w:szCs w:val="21"/>
                <w:highlight w:val="none"/>
              </w:rPr>
              <w:t>/h</w:t>
            </w:r>
            <w:r>
              <w:rPr>
                <w:rFonts w:hint="default" w:ascii="Times New Roman" w:hAnsi="Times New Roman" w:cs="Times New Roman"/>
                <w:bCs/>
                <w:color w:val="auto"/>
                <w:spacing w:val="-10"/>
                <w:sz w:val="21"/>
                <w:szCs w:val="21"/>
                <w:highlight w:val="none"/>
              </w:rPr>
              <w:t>生物质锅炉NOx排放浓度为</w:t>
            </w:r>
            <w:r>
              <w:rPr>
                <w:rFonts w:hint="default" w:ascii="Times New Roman" w:hAnsi="Times New Roman" w:cs="Times New Roman"/>
                <w:bCs/>
                <w:color w:val="auto"/>
                <w:spacing w:val="-10"/>
                <w:sz w:val="21"/>
                <w:szCs w:val="21"/>
                <w:highlight w:val="none"/>
                <w:lang w:eastAsia="zh-CN"/>
              </w:rPr>
              <w:t>161.27</w:t>
            </w:r>
            <w:r>
              <w:rPr>
                <w:rFonts w:hint="default" w:ascii="Times New Roman" w:hAnsi="Times New Roman" w:cs="Times New Roman"/>
                <w:bCs/>
                <w:color w:val="auto"/>
                <w:spacing w:val="-10"/>
                <w:sz w:val="21"/>
                <w:szCs w:val="21"/>
                <w:highlight w:val="none"/>
                <w:lang w:val="en-US" w:eastAsia="zh-CN"/>
              </w:rPr>
              <w:t>m</w:t>
            </w:r>
            <w:r>
              <w:rPr>
                <w:rFonts w:hint="default" w:ascii="Times New Roman" w:hAnsi="Times New Roman" w:cs="Times New Roman"/>
                <w:bCs/>
                <w:color w:val="auto"/>
                <w:spacing w:val="-10"/>
                <w:sz w:val="21"/>
                <w:szCs w:val="21"/>
                <w:highlight w:val="none"/>
              </w:rPr>
              <w:t>g/m</w:t>
            </w:r>
            <w:r>
              <w:rPr>
                <w:rFonts w:hint="default" w:ascii="Times New Roman" w:hAnsi="Times New Roman" w:cs="Times New Roman"/>
                <w:bCs/>
                <w:color w:val="auto"/>
                <w:spacing w:val="-10"/>
                <w:sz w:val="21"/>
                <w:szCs w:val="21"/>
                <w:highlight w:val="none"/>
                <w:vertAlign w:val="superscript"/>
              </w:rPr>
              <w:t>3</w:t>
            </w:r>
            <w:r>
              <w:rPr>
                <w:rFonts w:hint="default" w:ascii="Times New Roman" w:hAnsi="Times New Roman" w:cs="Times New Roman"/>
                <w:bCs/>
                <w:color w:val="auto"/>
                <w:spacing w:val="-10"/>
                <w:sz w:val="21"/>
                <w:szCs w:val="21"/>
                <w:highlight w:val="none"/>
              </w:rPr>
              <w:t>。</w:t>
            </w:r>
          </w:p>
          <w:p w14:paraId="3B7524DA">
            <w:pPr>
              <w:pStyle w:val="37"/>
              <w:spacing w:line="360" w:lineRule="auto"/>
              <w:ind w:firstLine="480"/>
              <w:jc w:val="both"/>
              <w:rPr>
                <w:rFonts w:hint="default" w:ascii="Times New Roman" w:hAnsi="Times New Roman" w:cs="Times New Roman"/>
                <w:bCs/>
                <w:color w:val="auto"/>
                <w:spacing w:val="-10"/>
                <w:sz w:val="21"/>
                <w:szCs w:val="21"/>
                <w:highlight w:val="none"/>
              </w:rPr>
            </w:pPr>
            <w:r>
              <w:rPr>
                <w:rFonts w:hint="default" w:ascii="Times New Roman" w:hAnsi="Times New Roman" w:eastAsia="宋体" w:cs="Times New Roman"/>
                <w:color w:val="auto"/>
                <w:sz w:val="21"/>
                <w:szCs w:val="21"/>
                <w:highlight w:val="none"/>
              </w:rPr>
              <w:t>经计算，</w:t>
            </w:r>
            <w:r>
              <w:rPr>
                <w:rFonts w:hint="default" w:ascii="Times New Roman" w:hAnsi="Times New Roman" w:eastAsia="宋体" w:cs="Times New Roman"/>
                <w:color w:val="auto"/>
                <w:sz w:val="21"/>
                <w:szCs w:val="21"/>
                <w:highlight w:val="none"/>
                <w:lang w:val="en-US" w:eastAsia="zh-CN"/>
              </w:rPr>
              <w:t>DA001的</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排放速率为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.34</w:t>
            </w:r>
            <w:r>
              <w:rPr>
                <w:rFonts w:hint="default" w:ascii="Times New Roman" w:hAnsi="Times New Roman" w:eastAsia="宋体" w:cs="Times New Roman"/>
                <w:color w:val="auto"/>
                <w:sz w:val="21"/>
                <w:szCs w:val="21"/>
                <w:highlight w:val="none"/>
              </w:rPr>
              <w:t>kg/h，排放量为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t/a，排放浓度为</w:t>
            </w:r>
            <w:r>
              <w:rPr>
                <w:rFonts w:hint="default" w:ascii="Times New Roman" w:hAnsi="Times New Roman" w:eastAsia="宋体" w:cs="Times New Roman"/>
                <w:color w:val="auto"/>
                <w:sz w:val="21"/>
                <w:szCs w:val="21"/>
                <w:highlight w:val="none"/>
                <w:lang w:val="en-US" w:eastAsia="zh-CN"/>
              </w:rPr>
              <w:t>85.38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；NOx排放速率为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rPr>
              <w:t>kg/h，排放量为</w:t>
            </w:r>
            <w:r>
              <w:rPr>
                <w:rFonts w:hint="default" w:ascii="Times New Roman" w:hAnsi="Times New Roman" w:eastAsia="宋体" w:cs="Times New Roman"/>
                <w:color w:val="auto"/>
                <w:sz w:val="21"/>
                <w:szCs w:val="21"/>
                <w:highlight w:val="none"/>
                <w:lang w:val="en-US" w:eastAsia="zh-CN"/>
              </w:rPr>
              <w:t>0.55</w:t>
            </w:r>
            <w:r>
              <w:rPr>
                <w:rFonts w:hint="default" w:ascii="Times New Roman" w:hAnsi="Times New Roman" w:eastAsia="宋体" w:cs="Times New Roman"/>
                <w:color w:val="auto"/>
                <w:sz w:val="21"/>
                <w:szCs w:val="21"/>
                <w:highlight w:val="none"/>
              </w:rPr>
              <w:t>t/a，排放浓度为</w:t>
            </w:r>
            <w:r>
              <w:rPr>
                <w:rFonts w:hint="default" w:ascii="Times New Roman" w:hAnsi="Times New Roman" w:eastAsia="宋体" w:cs="Times New Roman"/>
                <w:color w:val="auto"/>
                <w:sz w:val="21"/>
                <w:szCs w:val="21"/>
                <w:highlight w:val="none"/>
                <w:lang w:val="en-US" w:eastAsia="zh-CN"/>
              </w:rPr>
              <w:t>161.27</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；颗粒物产生量为</w:t>
            </w:r>
            <w:r>
              <w:rPr>
                <w:rFonts w:hint="default" w:ascii="Times New Roman" w:hAnsi="Times New Roman" w:cs="Times New Roman"/>
                <w:color w:val="auto"/>
                <w:sz w:val="21"/>
                <w:szCs w:val="21"/>
                <w:highlight w:val="none"/>
                <w:lang w:val="en-US" w:eastAsia="zh-CN"/>
              </w:rPr>
              <w:t>17.65</w:t>
            </w:r>
            <w:r>
              <w:rPr>
                <w:rFonts w:hint="default" w:ascii="Times New Roman" w:hAnsi="Times New Roman" w:eastAsia="宋体" w:cs="Times New Roman"/>
                <w:color w:val="auto"/>
                <w:sz w:val="21"/>
                <w:szCs w:val="21"/>
                <w:highlight w:val="none"/>
              </w:rPr>
              <w:t>t/a，产生浓度为</w:t>
            </w:r>
            <w:r>
              <w:rPr>
                <w:rFonts w:hint="default" w:ascii="Times New Roman" w:hAnsi="Times New Roman" w:eastAsia="宋体" w:cs="Times New Roman"/>
                <w:color w:val="auto"/>
                <w:sz w:val="21"/>
                <w:szCs w:val="21"/>
                <w:highlight w:val="none"/>
                <w:lang w:val="en-US" w:eastAsia="zh-CN"/>
              </w:rPr>
              <w:t>9106.8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eastAsia="zh-CN"/>
              </w:rPr>
              <w:t>（旋风+布袋）除尘器</w:t>
            </w:r>
            <w:r>
              <w:rPr>
                <w:rFonts w:hint="default" w:ascii="Times New Roman" w:hAnsi="Times New Roman" w:eastAsia="宋体" w:cs="Times New Roman"/>
                <w:color w:val="auto"/>
                <w:sz w:val="21"/>
                <w:szCs w:val="21"/>
                <w:highlight w:val="none"/>
              </w:rPr>
              <w:t>（处理效率</w:t>
            </w:r>
            <w:r>
              <w:rPr>
                <w:rFonts w:hint="default" w:ascii="Times New Roman" w:hAnsi="Times New Roman" w:eastAsia="宋体" w:cs="Times New Roman"/>
                <w:color w:val="auto"/>
                <w:sz w:val="21"/>
                <w:szCs w:val="21"/>
                <w:highlight w:val="none"/>
                <w:lang w:eastAsia="zh-CN"/>
              </w:rPr>
              <w:t>99.7%</w:t>
            </w:r>
            <w:r>
              <w:rPr>
                <w:rFonts w:hint="default" w:ascii="Times New Roman" w:hAnsi="Times New Roman" w:eastAsia="宋体" w:cs="Times New Roman"/>
                <w:color w:val="auto"/>
                <w:sz w:val="21"/>
                <w:szCs w:val="21"/>
                <w:highlight w:val="none"/>
              </w:rPr>
              <w:t>）处理后排放速率为</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kg/h，排放量为</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t/a，排放浓度为</w:t>
            </w:r>
            <w:r>
              <w:rPr>
                <w:rFonts w:hint="default" w:ascii="Times New Roman" w:hAnsi="Times New Roman" w:eastAsia="宋体" w:cs="Times New Roman"/>
                <w:color w:val="auto"/>
                <w:sz w:val="21"/>
                <w:szCs w:val="21"/>
                <w:highlight w:val="none"/>
                <w:lang w:val="en-US" w:eastAsia="zh-CN"/>
              </w:rPr>
              <w:t>27.32</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bCs/>
                <w:color w:val="auto"/>
                <w:sz w:val="21"/>
                <w:szCs w:val="21"/>
                <w:highlight w:val="none"/>
              </w:rPr>
              <w:t>热风炉烟气SO</w:t>
            </w:r>
            <w:r>
              <w:rPr>
                <w:rFonts w:hint="default" w:ascii="Times New Roman" w:hAnsi="Times New Roman" w:eastAsia="宋体" w:cs="Times New Roman"/>
                <w:bCs/>
                <w:color w:val="auto"/>
                <w:sz w:val="21"/>
                <w:szCs w:val="21"/>
                <w:highlight w:val="none"/>
                <w:vertAlign w:val="subscript"/>
              </w:rPr>
              <w:t>2</w:t>
            </w:r>
            <w:r>
              <w:rPr>
                <w:rFonts w:hint="default" w:ascii="Times New Roman" w:hAnsi="Times New Roman" w:eastAsia="宋体" w:cs="Times New Roman"/>
                <w:bCs/>
                <w:color w:val="auto"/>
                <w:sz w:val="21"/>
                <w:szCs w:val="21"/>
                <w:highlight w:val="none"/>
              </w:rPr>
              <w:t>、烟（粉）尘和烟气黑度排放浓度满足《工业炉窑大气污染物排放标准》（GB9078-1996）表2、表4标准</w:t>
            </w:r>
            <w:r>
              <w:rPr>
                <w:rFonts w:hint="default" w:ascii="Times New Roman" w:hAnsi="Times New Roman" w:eastAsia="宋体" w:cs="Times New Roman"/>
                <w:bCs/>
                <w:color w:val="auto"/>
                <w:kern w:val="2"/>
                <w:sz w:val="21"/>
                <w:szCs w:val="21"/>
                <w:highlight w:val="none"/>
                <w:lang w:val="en-US" w:eastAsia="zh-CN" w:bidi="ar-SA"/>
              </w:rPr>
              <w:t>。</w:t>
            </w:r>
            <w:r>
              <w:rPr>
                <w:rFonts w:hint="default" w:ascii="Times New Roman" w:hAnsi="Times New Roman" w:eastAsia="宋体" w:cs="Times New Roman"/>
                <w:bCs/>
                <w:color w:val="auto"/>
                <w:sz w:val="21"/>
                <w:szCs w:val="21"/>
                <w:highlight w:val="none"/>
              </w:rPr>
              <w:t>热风炉烟气</w:t>
            </w:r>
            <w:r>
              <w:rPr>
                <w:rFonts w:hint="default" w:ascii="Times New Roman" w:hAnsi="Times New Roman" w:eastAsia="宋体" w:cs="Times New Roman"/>
                <w:color w:val="auto"/>
                <w:sz w:val="21"/>
                <w:szCs w:val="21"/>
                <w:highlight w:val="none"/>
              </w:rPr>
              <w:t>经由15m高烟囱（DA001）排放。</w:t>
            </w:r>
          </w:p>
          <w:p w14:paraId="2838640A">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）排放口基本情况</w:t>
            </w:r>
          </w:p>
          <w:p w14:paraId="0AD03441">
            <w:pPr>
              <w:adjustRightInd w:val="0"/>
              <w:snapToGrid w:val="0"/>
              <w:jc w:val="center"/>
              <w:rPr>
                <w:rFonts w:hint="default" w:ascii="Times New Roman" w:hAnsi="Times New Roman" w:cs="Times New Roman"/>
                <w:b/>
                <w:color w:val="auto"/>
                <w:spacing w:val="-10"/>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 xml:space="preserve">  排放口基本情况表</w:t>
            </w:r>
          </w:p>
          <w:tbl>
            <w:tblPr>
              <w:tblStyle w:val="13"/>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35"/>
              <w:gridCol w:w="535"/>
              <w:gridCol w:w="1230"/>
              <w:gridCol w:w="1222"/>
              <w:gridCol w:w="682"/>
              <w:gridCol w:w="834"/>
              <w:gridCol w:w="721"/>
              <w:gridCol w:w="644"/>
              <w:gridCol w:w="1543"/>
            </w:tblGrid>
            <w:tr w14:paraId="2D54AB8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7" w:hRule="atLeast"/>
                <w:tblHeader/>
                <w:jc w:val="center"/>
              </w:trPr>
              <w:tc>
                <w:tcPr>
                  <w:tcW w:w="336" w:type="pct"/>
                  <w:vMerge w:val="restart"/>
                  <w:noWrap w:val="0"/>
                  <w:vAlign w:val="center"/>
                </w:tcPr>
                <w:p w14:paraId="27EBEEF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排放口编号</w:t>
                  </w:r>
                </w:p>
              </w:tc>
              <w:tc>
                <w:tcPr>
                  <w:tcW w:w="336" w:type="pct"/>
                  <w:vMerge w:val="restart"/>
                  <w:noWrap w:val="0"/>
                  <w:vAlign w:val="center"/>
                </w:tcPr>
                <w:p w14:paraId="32FEA1C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排放口名称</w:t>
                  </w:r>
                </w:p>
              </w:tc>
              <w:tc>
                <w:tcPr>
                  <w:tcW w:w="1541" w:type="pct"/>
                  <w:gridSpan w:val="2"/>
                  <w:noWrap w:val="0"/>
                  <w:vAlign w:val="center"/>
                </w:tcPr>
                <w:p w14:paraId="04282F4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排放口地理坐标</w:t>
                  </w:r>
                  <w:r>
                    <w:rPr>
                      <w:rFonts w:hint="default" w:ascii="Times New Roman" w:hAnsi="Times New Roman" w:cs="Times New Roman"/>
                      <w:color w:val="auto"/>
                      <w:sz w:val="18"/>
                      <w:szCs w:val="18"/>
                      <w:highlight w:val="none"/>
                      <w:lang w:val="en-US" w:eastAsia="zh-CN"/>
                    </w:rPr>
                    <w:t>/°</w:t>
                  </w:r>
                </w:p>
              </w:tc>
              <w:tc>
                <w:tcPr>
                  <w:tcW w:w="429" w:type="pct"/>
                  <w:vMerge w:val="restart"/>
                  <w:noWrap w:val="0"/>
                  <w:vAlign w:val="center"/>
                </w:tcPr>
                <w:p w14:paraId="6937157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排气筒高度（m）</w:t>
                  </w:r>
                </w:p>
              </w:tc>
              <w:tc>
                <w:tcPr>
                  <w:tcW w:w="524" w:type="pct"/>
                  <w:vMerge w:val="restart"/>
                  <w:noWrap w:val="0"/>
                  <w:vAlign w:val="center"/>
                </w:tcPr>
                <w:p w14:paraId="71702AA7">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排气筒出口内径（m）</w:t>
                  </w:r>
                </w:p>
              </w:tc>
              <w:tc>
                <w:tcPr>
                  <w:tcW w:w="454" w:type="pct"/>
                  <w:vMerge w:val="restart"/>
                  <w:noWrap w:val="0"/>
                  <w:vAlign w:val="center"/>
                </w:tcPr>
                <w:p w14:paraId="0B61379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排气温度（℃）</w:t>
                  </w:r>
                </w:p>
              </w:tc>
              <w:tc>
                <w:tcPr>
                  <w:tcW w:w="405" w:type="pct"/>
                  <w:vMerge w:val="restart"/>
                  <w:noWrap w:val="0"/>
                  <w:vAlign w:val="center"/>
                </w:tcPr>
                <w:p w14:paraId="06C547D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c>
                <w:tcPr>
                  <w:tcW w:w="970" w:type="pct"/>
                  <w:vMerge w:val="restart"/>
                  <w:noWrap w:val="0"/>
                  <w:vAlign w:val="center"/>
                </w:tcPr>
                <w:p w14:paraId="21B4081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执行标准</w:t>
                  </w:r>
                </w:p>
              </w:tc>
            </w:tr>
            <w:tr w14:paraId="6F825A8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blHeader/>
                <w:jc w:val="center"/>
              </w:trPr>
              <w:tc>
                <w:tcPr>
                  <w:tcW w:w="336" w:type="pct"/>
                  <w:vMerge w:val="continue"/>
                  <w:noWrap w:val="0"/>
                  <w:vAlign w:val="center"/>
                </w:tcPr>
                <w:p w14:paraId="05061845">
                  <w:pPr>
                    <w:jc w:val="center"/>
                    <w:rPr>
                      <w:rFonts w:hint="default" w:ascii="Times New Roman" w:hAnsi="Times New Roman" w:cs="Times New Roman"/>
                      <w:color w:val="auto"/>
                      <w:sz w:val="18"/>
                      <w:szCs w:val="18"/>
                      <w:highlight w:val="none"/>
                    </w:rPr>
                  </w:pPr>
                </w:p>
              </w:tc>
              <w:tc>
                <w:tcPr>
                  <w:tcW w:w="336" w:type="pct"/>
                  <w:vMerge w:val="continue"/>
                  <w:noWrap w:val="0"/>
                  <w:vAlign w:val="center"/>
                </w:tcPr>
                <w:p w14:paraId="03D592F5">
                  <w:pPr>
                    <w:jc w:val="center"/>
                    <w:rPr>
                      <w:rFonts w:hint="default" w:ascii="Times New Roman" w:hAnsi="Times New Roman" w:cs="Times New Roman"/>
                      <w:color w:val="auto"/>
                      <w:sz w:val="18"/>
                      <w:szCs w:val="18"/>
                      <w:highlight w:val="none"/>
                    </w:rPr>
                  </w:pPr>
                </w:p>
              </w:tc>
              <w:tc>
                <w:tcPr>
                  <w:tcW w:w="773" w:type="pct"/>
                  <w:noWrap w:val="0"/>
                  <w:vAlign w:val="center"/>
                </w:tcPr>
                <w:p w14:paraId="6C5A43D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经度</w:t>
                  </w:r>
                </w:p>
              </w:tc>
              <w:tc>
                <w:tcPr>
                  <w:tcW w:w="767" w:type="pct"/>
                  <w:noWrap w:val="0"/>
                  <w:vAlign w:val="center"/>
                </w:tcPr>
                <w:p w14:paraId="199D718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纬度</w:t>
                  </w:r>
                </w:p>
              </w:tc>
              <w:tc>
                <w:tcPr>
                  <w:tcW w:w="429" w:type="pct"/>
                  <w:vMerge w:val="continue"/>
                  <w:noWrap w:val="0"/>
                  <w:vAlign w:val="center"/>
                </w:tcPr>
                <w:p w14:paraId="09A5D8F2">
                  <w:pPr>
                    <w:jc w:val="center"/>
                    <w:rPr>
                      <w:rFonts w:hint="default" w:ascii="Times New Roman" w:hAnsi="Times New Roman" w:cs="Times New Roman"/>
                      <w:color w:val="auto"/>
                      <w:sz w:val="18"/>
                      <w:szCs w:val="18"/>
                      <w:highlight w:val="none"/>
                    </w:rPr>
                  </w:pPr>
                </w:p>
              </w:tc>
              <w:tc>
                <w:tcPr>
                  <w:tcW w:w="524" w:type="pct"/>
                  <w:vMerge w:val="continue"/>
                  <w:noWrap w:val="0"/>
                  <w:vAlign w:val="center"/>
                </w:tcPr>
                <w:p w14:paraId="5EE5DB2D">
                  <w:pPr>
                    <w:jc w:val="center"/>
                    <w:rPr>
                      <w:rFonts w:hint="default" w:ascii="Times New Roman" w:hAnsi="Times New Roman" w:cs="Times New Roman"/>
                      <w:color w:val="auto"/>
                      <w:sz w:val="18"/>
                      <w:szCs w:val="18"/>
                      <w:highlight w:val="none"/>
                    </w:rPr>
                  </w:pPr>
                </w:p>
              </w:tc>
              <w:tc>
                <w:tcPr>
                  <w:tcW w:w="454" w:type="pct"/>
                  <w:vMerge w:val="continue"/>
                  <w:noWrap w:val="0"/>
                  <w:vAlign w:val="center"/>
                </w:tcPr>
                <w:p w14:paraId="4B014F5F">
                  <w:pPr>
                    <w:jc w:val="center"/>
                    <w:rPr>
                      <w:rFonts w:hint="default" w:ascii="Times New Roman" w:hAnsi="Times New Roman" w:cs="Times New Roman"/>
                      <w:color w:val="auto"/>
                      <w:sz w:val="18"/>
                      <w:szCs w:val="18"/>
                      <w:highlight w:val="none"/>
                    </w:rPr>
                  </w:pPr>
                </w:p>
              </w:tc>
              <w:tc>
                <w:tcPr>
                  <w:tcW w:w="405" w:type="pct"/>
                  <w:vMerge w:val="continue"/>
                  <w:noWrap w:val="0"/>
                  <w:vAlign w:val="center"/>
                </w:tcPr>
                <w:p w14:paraId="69C554C7">
                  <w:pPr>
                    <w:jc w:val="center"/>
                    <w:rPr>
                      <w:rFonts w:hint="default" w:ascii="Times New Roman" w:hAnsi="Times New Roman" w:cs="Times New Roman"/>
                      <w:color w:val="auto"/>
                      <w:sz w:val="18"/>
                      <w:szCs w:val="18"/>
                      <w:highlight w:val="none"/>
                    </w:rPr>
                  </w:pPr>
                </w:p>
              </w:tc>
              <w:tc>
                <w:tcPr>
                  <w:tcW w:w="970" w:type="pct"/>
                  <w:vMerge w:val="continue"/>
                  <w:noWrap w:val="0"/>
                  <w:vAlign w:val="center"/>
                </w:tcPr>
                <w:p w14:paraId="3F2B561B">
                  <w:pPr>
                    <w:jc w:val="center"/>
                    <w:rPr>
                      <w:rFonts w:hint="default" w:ascii="Times New Roman" w:hAnsi="Times New Roman" w:cs="Times New Roman"/>
                      <w:color w:val="auto"/>
                      <w:sz w:val="18"/>
                      <w:szCs w:val="18"/>
                      <w:highlight w:val="none"/>
                    </w:rPr>
                  </w:pPr>
                </w:p>
              </w:tc>
            </w:tr>
            <w:tr w14:paraId="3A47A33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blHeader/>
                <w:jc w:val="center"/>
              </w:trPr>
              <w:tc>
                <w:tcPr>
                  <w:tcW w:w="336" w:type="pct"/>
                  <w:noWrap w:val="0"/>
                  <w:vAlign w:val="center"/>
                </w:tcPr>
                <w:p w14:paraId="6677AFB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DA001</w:t>
                  </w:r>
                </w:p>
              </w:tc>
              <w:tc>
                <w:tcPr>
                  <w:tcW w:w="336" w:type="pct"/>
                  <w:noWrap w:val="0"/>
                  <w:vAlign w:val="center"/>
                </w:tcPr>
                <w:p w14:paraId="6C5C735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锅炉烟囱</w:t>
                  </w:r>
                </w:p>
              </w:tc>
              <w:tc>
                <w:tcPr>
                  <w:tcW w:w="773" w:type="pct"/>
                  <w:noWrap w:val="0"/>
                  <w:vAlign w:val="center"/>
                </w:tcPr>
                <w:p w14:paraId="60066192">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125</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55</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3.61</w:t>
                  </w:r>
                  <w:r>
                    <w:rPr>
                      <w:rFonts w:hint="default" w:ascii="Times New Roman" w:hAnsi="Times New Roman" w:cs="Times New Roman"/>
                      <w:color w:val="auto"/>
                      <w:sz w:val="18"/>
                      <w:szCs w:val="18"/>
                      <w:highlight w:val="none"/>
                      <w:lang w:eastAsia="zh-CN"/>
                    </w:rPr>
                    <w:t>″</w:t>
                  </w:r>
                </w:p>
              </w:tc>
              <w:tc>
                <w:tcPr>
                  <w:tcW w:w="767" w:type="pct"/>
                  <w:noWrap w:val="0"/>
                  <w:vAlign w:val="center"/>
                </w:tcPr>
                <w:p w14:paraId="30E674A2">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46</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54</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3.10</w:t>
                  </w:r>
                  <w:r>
                    <w:rPr>
                      <w:rFonts w:hint="default" w:ascii="Times New Roman" w:hAnsi="Times New Roman" w:cs="Times New Roman"/>
                      <w:color w:val="auto"/>
                      <w:sz w:val="18"/>
                      <w:szCs w:val="18"/>
                      <w:highlight w:val="none"/>
                      <w:lang w:eastAsia="zh-CN"/>
                    </w:rPr>
                    <w:t>″</w:t>
                  </w:r>
                </w:p>
              </w:tc>
              <w:tc>
                <w:tcPr>
                  <w:tcW w:w="429" w:type="pct"/>
                  <w:noWrap w:val="0"/>
                  <w:vAlign w:val="center"/>
                </w:tcPr>
                <w:p w14:paraId="116EDF9B">
                  <w:pPr>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30</w:t>
                  </w:r>
                </w:p>
              </w:tc>
              <w:tc>
                <w:tcPr>
                  <w:tcW w:w="524" w:type="pct"/>
                  <w:noWrap w:val="0"/>
                  <w:vAlign w:val="center"/>
                </w:tcPr>
                <w:p w14:paraId="20CE5FA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w:t>
                  </w:r>
                </w:p>
              </w:tc>
              <w:tc>
                <w:tcPr>
                  <w:tcW w:w="454" w:type="pct"/>
                  <w:noWrap w:val="0"/>
                  <w:vAlign w:val="center"/>
                </w:tcPr>
                <w:p w14:paraId="4CCCB600">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20</w:t>
                  </w:r>
                </w:p>
              </w:tc>
              <w:tc>
                <w:tcPr>
                  <w:tcW w:w="405" w:type="pct"/>
                  <w:noWrap w:val="0"/>
                  <w:vAlign w:val="center"/>
                </w:tcPr>
                <w:p w14:paraId="45F17E37">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一般排放口</w:t>
                  </w:r>
                </w:p>
              </w:tc>
              <w:tc>
                <w:tcPr>
                  <w:tcW w:w="970" w:type="pct"/>
                  <w:noWrap w:val="0"/>
                  <w:vAlign w:val="center"/>
                </w:tcPr>
                <w:p w14:paraId="6FE815A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《锅炉大气污染物排放标准》（GB13271-2014）表2中“燃煤锅炉”排放标准</w:t>
                  </w:r>
                </w:p>
              </w:tc>
            </w:tr>
          </w:tbl>
          <w:p w14:paraId="1990144A">
            <w:pPr>
              <w:adjustRightInd w:val="0"/>
              <w:snapToGrid w:val="0"/>
              <w:ind w:left="420" w:leftChars="200"/>
              <w:rPr>
                <w:rFonts w:hint="default" w:ascii="Times New Roman" w:hAnsi="Times New Roman" w:cs="Times New Roman"/>
                <w:bCs/>
                <w:color w:val="auto"/>
                <w:szCs w:val="21"/>
                <w:highlight w:val="none"/>
              </w:rPr>
            </w:pPr>
          </w:p>
          <w:p w14:paraId="350E8C6C">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）本项目废气产污节点及污染治理设施详情见表4-</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w:t>
            </w:r>
          </w:p>
          <w:p w14:paraId="6151C5D1">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3</w:t>
            </w:r>
            <w:r>
              <w:rPr>
                <w:rFonts w:hint="default" w:ascii="Times New Roman" w:hAnsi="Times New Roman" w:cs="Times New Roman"/>
                <w:b/>
                <w:color w:val="auto"/>
                <w:szCs w:val="21"/>
                <w:highlight w:val="none"/>
              </w:rPr>
              <w:t xml:space="preserve">  废气产污节点及污染治理设施一栏表</w:t>
            </w:r>
          </w:p>
          <w:tbl>
            <w:tblPr>
              <w:tblStyle w:val="13"/>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6"/>
              <w:gridCol w:w="988"/>
              <w:gridCol w:w="991"/>
              <w:gridCol w:w="990"/>
              <w:gridCol w:w="990"/>
              <w:gridCol w:w="990"/>
              <w:gridCol w:w="990"/>
              <w:gridCol w:w="1018"/>
            </w:tblGrid>
            <w:tr w14:paraId="7BFAAC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20" w:type="pct"/>
                  <w:vMerge w:val="restart"/>
                  <w:noWrap w:val="0"/>
                  <w:vAlign w:val="center"/>
                </w:tcPr>
                <w:p w14:paraId="0E59F5E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产污环节</w:t>
                  </w:r>
                </w:p>
              </w:tc>
              <w:tc>
                <w:tcPr>
                  <w:tcW w:w="621" w:type="pct"/>
                  <w:vMerge w:val="restart"/>
                  <w:noWrap w:val="0"/>
                  <w:vAlign w:val="center"/>
                </w:tcPr>
                <w:p w14:paraId="6A34904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污染物种类</w:t>
                  </w:r>
                </w:p>
              </w:tc>
              <w:tc>
                <w:tcPr>
                  <w:tcW w:w="623" w:type="pct"/>
                  <w:vMerge w:val="restart"/>
                  <w:noWrap w:val="0"/>
                  <w:vAlign w:val="center"/>
                </w:tcPr>
                <w:p w14:paraId="40F3C8A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排放形式</w:t>
                  </w:r>
                </w:p>
              </w:tc>
              <w:tc>
                <w:tcPr>
                  <w:tcW w:w="3133" w:type="pct"/>
                  <w:gridSpan w:val="5"/>
                  <w:noWrap w:val="0"/>
                  <w:vAlign w:val="center"/>
                </w:tcPr>
                <w:p w14:paraId="5FA8F86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污染防治设施</w:t>
                  </w:r>
                </w:p>
              </w:tc>
            </w:tr>
            <w:tr w14:paraId="64E101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620" w:type="pct"/>
                  <w:vMerge w:val="continue"/>
                  <w:noWrap w:val="0"/>
                  <w:vAlign w:val="center"/>
                </w:tcPr>
                <w:p w14:paraId="23E01D93">
                  <w:pPr>
                    <w:jc w:val="center"/>
                    <w:rPr>
                      <w:rFonts w:hint="default" w:ascii="Times New Roman" w:hAnsi="Times New Roman" w:cs="Times New Roman"/>
                      <w:color w:val="auto"/>
                      <w:sz w:val="18"/>
                      <w:szCs w:val="18"/>
                      <w:highlight w:val="none"/>
                    </w:rPr>
                  </w:pPr>
                </w:p>
              </w:tc>
              <w:tc>
                <w:tcPr>
                  <w:tcW w:w="621" w:type="pct"/>
                  <w:vMerge w:val="continue"/>
                  <w:noWrap w:val="0"/>
                  <w:vAlign w:val="center"/>
                </w:tcPr>
                <w:p w14:paraId="5ADB108A">
                  <w:pPr>
                    <w:jc w:val="center"/>
                    <w:rPr>
                      <w:rFonts w:hint="default" w:ascii="Times New Roman" w:hAnsi="Times New Roman" w:cs="Times New Roman"/>
                      <w:color w:val="auto"/>
                      <w:sz w:val="18"/>
                      <w:szCs w:val="18"/>
                      <w:highlight w:val="none"/>
                    </w:rPr>
                  </w:pPr>
                </w:p>
              </w:tc>
              <w:tc>
                <w:tcPr>
                  <w:tcW w:w="623" w:type="pct"/>
                  <w:vMerge w:val="continue"/>
                  <w:noWrap w:val="0"/>
                  <w:vAlign w:val="center"/>
                </w:tcPr>
                <w:p w14:paraId="77CB0B04">
                  <w:pPr>
                    <w:jc w:val="center"/>
                    <w:rPr>
                      <w:rFonts w:hint="default" w:ascii="Times New Roman" w:hAnsi="Times New Roman" w:cs="Times New Roman"/>
                      <w:color w:val="auto"/>
                      <w:sz w:val="18"/>
                      <w:szCs w:val="18"/>
                      <w:highlight w:val="none"/>
                    </w:rPr>
                  </w:pPr>
                </w:p>
              </w:tc>
              <w:tc>
                <w:tcPr>
                  <w:tcW w:w="623" w:type="pct"/>
                  <w:noWrap w:val="0"/>
                  <w:vAlign w:val="center"/>
                </w:tcPr>
                <w:p w14:paraId="547A1D4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污染防治设施名称</w:t>
                  </w:r>
                </w:p>
              </w:tc>
              <w:tc>
                <w:tcPr>
                  <w:tcW w:w="623" w:type="pct"/>
                  <w:noWrap w:val="0"/>
                  <w:vAlign w:val="center"/>
                </w:tcPr>
                <w:p w14:paraId="6F46A5C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处理能力</w:t>
                  </w:r>
                </w:p>
              </w:tc>
              <w:tc>
                <w:tcPr>
                  <w:tcW w:w="623" w:type="pct"/>
                  <w:noWrap w:val="0"/>
                  <w:vAlign w:val="center"/>
                </w:tcPr>
                <w:p w14:paraId="2775F88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收集效率</w:t>
                  </w:r>
                </w:p>
              </w:tc>
              <w:tc>
                <w:tcPr>
                  <w:tcW w:w="623" w:type="pct"/>
                  <w:noWrap w:val="0"/>
                  <w:vAlign w:val="center"/>
                </w:tcPr>
                <w:p w14:paraId="02DBB1E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去除率</w:t>
                  </w:r>
                </w:p>
              </w:tc>
              <w:tc>
                <w:tcPr>
                  <w:tcW w:w="640" w:type="pct"/>
                  <w:noWrap w:val="0"/>
                  <w:vAlign w:val="center"/>
                </w:tcPr>
                <w:p w14:paraId="6181844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是否为可行技术</w:t>
                  </w:r>
                </w:p>
              </w:tc>
            </w:tr>
            <w:tr w14:paraId="17B99B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20" w:type="pct"/>
                  <w:vMerge w:val="restart"/>
                  <w:noWrap w:val="0"/>
                  <w:vAlign w:val="center"/>
                </w:tcPr>
                <w:p w14:paraId="3734C95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生物质锅炉</w:t>
                  </w:r>
                </w:p>
              </w:tc>
              <w:tc>
                <w:tcPr>
                  <w:tcW w:w="621" w:type="pct"/>
                  <w:noWrap w:val="0"/>
                  <w:vAlign w:val="center"/>
                </w:tcPr>
                <w:p w14:paraId="63B18FB4">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颗粒物</w:t>
                  </w:r>
                </w:p>
              </w:tc>
              <w:tc>
                <w:tcPr>
                  <w:tcW w:w="623" w:type="pct"/>
                  <w:vMerge w:val="restart"/>
                  <w:noWrap w:val="0"/>
                  <w:vAlign w:val="center"/>
                </w:tcPr>
                <w:p w14:paraId="3A33BC0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有组织排放</w:t>
                  </w:r>
                </w:p>
              </w:tc>
              <w:tc>
                <w:tcPr>
                  <w:tcW w:w="623" w:type="pct"/>
                  <w:noWrap w:val="0"/>
                  <w:vAlign w:val="center"/>
                </w:tcPr>
                <w:p w14:paraId="384528E2">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旋风</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eastAsia="zh-CN"/>
                    </w:rPr>
                    <w:t>布袋除尘器</w:t>
                  </w:r>
                </w:p>
              </w:tc>
              <w:tc>
                <w:tcPr>
                  <w:tcW w:w="623" w:type="pct"/>
                  <w:vMerge w:val="restart"/>
                  <w:noWrap w:val="0"/>
                  <w:vAlign w:val="center"/>
                </w:tcPr>
                <w:p w14:paraId="7D1228B4">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kern w:val="0"/>
                      <w:sz w:val="18"/>
                      <w:szCs w:val="18"/>
                      <w:highlight w:val="none"/>
                      <w:lang w:val="en-US" w:eastAsia="zh-CN"/>
                    </w:rPr>
                    <w:t>3937.95</w:t>
                  </w: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w:t>
                  </w:r>
                  <w:r>
                    <w:rPr>
                      <w:rFonts w:hint="default" w:ascii="Times New Roman" w:hAnsi="Times New Roman" w:cs="Times New Roman"/>
                      <w:color w:val="auto"/>
                      <w:sz w:val="18"/>
                      <w:szCs w:val="18"/>
                      <w:highlight w:val="none"/>
                      <w:lang w:val="en-US" w:eastAsia="zh-CN"/>
                    </w:rPr>
                    <w:t>h</w:t>
                  </w:r>
                </w:p>
              </w:tc>
              <w:tc>
                <w:tcPr>
                  <w:tcW w:w="623" w:type="pct"/>
                  <w:noWrap w:val="0"/>
                  <w:vAlign w:val="center"/>
                </w:tcPr>
                <w:p w14:paraId="75A7DDD5">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w:t>
                  </w:r>
                </w:p>
              </w:tc>
              <w:tc>
                <w:tcPr>
                  <w:tcW w:w="623" w:type="pct"/>
                  <w:noWrap w:val="0"/>
                  <w:vAlign w:val="center"/>
                </w:tcPr>
                <w:p w14:paraId="2080EA6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99.7</w:t>
                  </w:r>
                  <w:r>
                    <w:rPr>
                      <w:rFonts w:hint="default" w:ascii="Times New Roman" w:hAnsi="Times New Roman" w:cs="Times New Roman"/>
                      <w:color w:val="auto"/>
                      <w:sz w:val="18"/>
                      <w:szCs w:val="18"/>
                      <w:highlight w:val="none"/>
                    </w:rPr>
                    <w:t>%</w:t>
                  </w:r>
                </w:p>
              </w:tc>
              <w:tc>
                <w:tcPr>
                  <w:tcW w:w="640" w:type="pct"/>
                  <w:noWrap w:val="0"/>
                  <w:vAlign w:val="center"/>
                </w:tcPr>
                <w:p w14:paraId="74321C2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是</w:t>
                  </w:r>
                </w:p>
              </w:tc>
            </w:tr>
            <w:tr w14:paraId="13CD6C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20" w:type="pct"/>
                  <w:vMerge w:val="continue"/>
                  <w:noWrap w:val="0"/>
                  <w:vAlign w:val="top"/>
                </w:tcPr>
                <w:p w14:paraId="7FFC8327">
                  <w:pPr>
                    <w:jc w:val="center"/>
                    <w:rPr>
                      <w:rFonts w:hint="default" w:ascii="Times New Roman" w:hAnsi="Times New Roman" w:cs="Times New Roman"/>
                      <w:color w:val="auto"/>
                      <w:sz w:val="18"/>
                      <w:szCs w:val="18"/>
                      <w:highlight w:val="none"/>
                    </w:rPr>
                  </w:pPr>
                </w:p>
              </w:tc>
              <w:tc>
                <w:tcPr>
                  <w:tcW w:w="0" w:type="auto"/>
                  <w:noWrap w:val="0"/>
                  <w:vAlign w:val="center"/>
                </w:tcPr>
                <w:p w14:paraId="6D981C3A">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623" w:type="pct"/>
                  <w:vMerge w:val="continue"/>
                  <w:noWrap w:val="0"/>
                  <w:vAlign w:val="top"/>
                </w:tcPr>
                <w:p w14:paraId="1D87E942">
                  <w:pPr>
                    <w:jc w:val="center"/>
                    <w:rPr>
                      <w:rFonts w:hint="default" w:ascii="Times New Roman" w:hAnsi="Times New Roman" w:cs="Times New Roman"/>
                      <w:color w:val="auto"/>
                      <w:sz w:val="18"/>
                      <w:szCs w:val="18"/>
                      <w:highlight w:val="none"/>
                    </w:rPr>
                  </w:pPr>
                </w:p>
              </w:tc>
              <w:tc>
                <w:tcPr>
                  <w:tcW w:w="0" w:type="auto"/>
                  <w:noWrap w:val="0"/>
                  <w:vAlign w:val="top"/>
                </w:tcPr>
                <w:p w14:paraId="3C586A0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623" w:type="pct"/>
                  <w:vMerge w:val="continue"/>
                  <w:noWrap w:val="0"/>
                  <w:vAlign w:val="top"/>
                </w:tcPr>
                <w:p w14:paraId="21A6BCE5">
                  <w:pPr>
                    <w:jc w:val="center"/>
                    <w:rPr>
                      <w:rFonts w:hint="default" w:ascii="Times New Roman" w:hAnsi="Times New Roman" w:cs="Times New Roman"/>
                      <w:color w:val="auto"/>
                      <w:sz w:val="18"/>
                      <w:szCs w:val="18"/>
                      <w:highlight w:val="none"/>
                    </w:rPr>
                  </w:pPr>
                </w:p>
              </w:tc>
              <w:tc>
                <w:tcPr>
                  <w:tcW w:w="0" w:type="auto"/>
                  <w:noWrap w:val="0"/>
                  <w:vAlign w:val="top"/>
                </w:tcPr>
                <w:p w14:paraId="65E15FCD">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0" w:type="auto"/>
                  <w:noWrap w:val="0"/>
                  <w:vAlign w:val="top"/>
                </w:tcPr>
                <w:p w14:paraId="3E3B212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0" w:type="auto"/>
                  <w:noWrap w:val="0"/>
                  <w:vAlign w:val="top"/>
                </w:tcPr>
                <w:p w14:paraId="7110C00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5F991B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20" w:type="pct"/>
                  <w:vMerge w:val="continue"/>
                  <w:noWrap w:val="0"/>
                  <w:vAlign w:val="top"/>
                </w:tcPr>
                <w:p w14:paraId="30495389">
                  <w:pPr>
                    <w:jc w:val="center"/>
                    <w:rPr>
                      <w:rFonts w:hint="default" w:ascii="Times New Roman" w:hAnsi="Times New Roman" w:cs="Times New Roman"/>
                      <w:color w:val="auto"/>
                      <w:sz w:val="18"/>
                      <w:szCs w:val="18"/>
                      <w:highlight w:val="none"/>
                    </w:rPr>
                  </w:pPr>
                </w:p>
              </w:tc>
              <w:tc>
                <w:tcPr>
                  <w:tcW w:w="0" w:type="auto"/>
                  <w:noWrap w:val="0"/>
                  <w:vAlign w:val="center"/>
                </w:tcPr>
                <w:p w14:paraId="05294178">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X</w:t>
                  </w:r>
                </w:p>
              </w:tc>
              <w:tc>
                <w:tcPr>
                  <w:tcW w:w="623" w:type="pct"/>
                  <w:vMerge w:val="continue"/>
                  <w:noWrap w:val="0"/>
                  <w:vAlign w:val="top"/>
                </w:tcPr>
                <w:p w14:paraId="3675FB81">
                  <w:pPr>
                    <w:jc w:val="center"/>
                    <w:rPr>
                      <w:rFonts w:hint="default" w:ascii="Times New Roman" w:hAnsi="Times New Roman" w:cs="Times New Roman"/>
                      <w:color w:val="auto"/>
                      <w:sz w:val="18"/>
                      <w:szCs w:val="18"/>
                      <w:highlight w:val="none"/>
                    </w:rPr>
                  </w:pPr>
                </w:p>
              </w:tc>
              <w:tc>
                <w:tcPr>
                  <w:tcW w:w="0" w:type="auto"/>
                  <w:noWrap w:val="0"/>
                  <w:vAlign w:val="top"/>
                </w:tcPr>
                <w:p w14:paraId="3EECFC2C">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623" w:type="pct"/>
                  <w:vMerge w:val="continue"/>
                  <w:noWrap w:val="0"/>
                  <w:vAlign w:val="top"/>
                </w:tcPr>
                <w:p w14:paraId="76288CF5">
                  <w:pPr>
                    <w:jc w:val="center"/>
                    <w:rPr>
                      <w:rFonts w:hint="default" w:ascii="Times New Roman" w:hAnsi="Times New Roman" w:cs="Times New Roman"/>
                      <w:color w:val="auto"/>
                      <w:sz w:val="18"/>
                      <w:szCs w:val="18"/>
                      <w:highlight w:val="none"/>
                    </w:rPr>
                  </w:pPr>
                </w:p>
              </w:tc>
              <w:tc>
                <w:tcPr>
                  <w:tcW w:w="0" w:type="auto"/>
                  <w:noWrap w:val="0"/>
                  <w:vAlign w:val="top"/>
                </w:tcPr>
                <w:p w14:paraId="0029C9C0">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0" w:type="auto"/>
                  <w:noWrap w:val="0"/>
                  <w:vAlign w:val="top"/>
                </w:tcPr>
                <w:p w14:paraId="33576D4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0" w:type="auto"/>
                  <w:noWrap w:val="0"/>
                  <w:vAlign w:val="top"/>
                </w:tcPr>
                <w:p w14:paraId="1F54266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14:paraId="0652E8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620" w:type="pct"/>
                  <w:vMerge w:val="continue"/>
                  <w:noWrap w:val="0"/>
                  <w:vAlign w:val="top"/>
                </w:tcPr>
                <w:p w14:paraId="3CB5EA3F">
                  <w:pPr>
                    <w:jc w:val="center"/>
                    <w:rPr>
                      <w:rFonts w:hint="default" w:ascii="Times New Roman" w:hAnsi="Times New Roman" w:cs="Times New Roman"/>
                      <w:color w:val="auto"/>
                      <w:sz w:val="18"/>
                      <w:szCs w:val="18"/>
                      <w:highlight w:val="none"/>
                    </w:rPr>
                  </w:pPr>
                </w:p>
              </w:tc>
              <w:tc>
                <w:tcPr>
                  <w:tcW w:w="0" w:type="auto"/>
                  <w:noWrap w:val="0"/>
                  <w:vAlign w:val="center"/>
                </w:tcPr>
                <w:p w14:paraId="4D03ADF1">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烟气黑度</w:t>
                  </w:r>
                </w:p>
              </w:tc>
              <w:tc>
                <w:tcPr>
                  <w:tcW w:w="623" w:type="pct"/>
                  <w:vMerge w:val="continue"/>
                  <w:noWrap w:val="0"/>
                  <w:vAlign w:val="top"/>
                </w:tcPr>
                <w:p w14:paraId="1D7681C0">
                  <w:pPr>
                    <w:jc w:val="center"/>
                    <w:rPr>
                      <w:rFonts w:hint="default" w:ascii="Times New Roman" w:hAnsi="Times New Roman" w:cs="Times New Roman"/>
                      <w:color w:val="auto"/>
                      <w:sz w:val="18"/>
                      <w:szCs w:val="18"/>
                      <w:highlight w:val="none"/>
                    </w:rPr>
                  </w:pPr>
                </w:p>
              </w:tc>
              <w:tc>
                <w:tcPr>
                  <w:tcW w:w="0" w:type="auto"/>
                  <w:noWrap w:val="0"/>
                  <w:vAlign w:val="top"/>
                </w:tcPr>
                <w:p w14:paraId="6029A34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623" w:type="pct"/>
                  <w:vMerge w:val="continue"/>
                  <w:noWrap w:val="0"/>
                  <w:vAlign w:val="top"/>
                </w:tcPr>
                <w:p w14:paraId="10052DAC">
                  <w:pPr>
                    <w:jc w:val="center"/>
                    <w:rPr>
                      <w:rFonts w:hint="default" w:ascii="Times New Roman" w:hAnsi="Times New Roman" w:cs="Times New Roman"/>
                      <w:color w:val="auto"/>
                      <w:sz w:val="18"/>
                      <w:szCs w:val="18"/>
                      <w:highlight w:val="none"/>
                    </w:rPr>
                  </w:pPr>
                </w:p>
              </w:tc>
              <w:tc>
                <w:tcPr>
                  <w:tcW w:w="0" w:type="auto"/>
                  <w:noWrap w:val="0"/>
                  <w:vAlign w:val="top"/>
                </w:tcPr>
                <w:p w14:paraId="7313E3A4">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0" w:type="auto"/>
                  <w:noWrap w:val="0"/>
                  <w:vAlign w:val="top"/>
                </w:tcPr>
                <w:p w14:paraId="1E1A43F2">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0" w:type="auto"/>
                  <w:noWrap w:val="0"/>
                  <w:vAlign w:val="top"/>
                </w:tcPr>
                <w:p w14:paraId="5D319D5B">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bl>
          <w:p w14:paraId="60D6385D">
            <w:pPr>
              <w:adjustRightInd w:val="0"/>
              <w:snapToGrid w:val="0"/>
              <w:rPr>
                <w:rFonts w:hint="default" w:ascii="Times New Roman" w:hAnsi="Times New Roman" w:cs="Times New Roman"/>
                <w:bCs/>
                <w:color w:val="auto"/>
                <w:szCs w:val="21"/>
                <w:highlight w:val="none"/>
              </w:rPr>
            </w:pPr>
          </w:p>
          <w:p w14:paraId="01127FFA">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锅炉灰渣</w:t>
            </w:r>
            <w:r>
              <w:rPr>
                <w:rFonts w:hint="default" w:ascii="Times New Roman" w:hAnsi="Times New Roman" w:cs="Times New Roman"/>
                <w:bCs/>
                <w:color w:val="auto"/>
                <w:szCs w:val="21"/>
                <w:highlight w:val="none"/>
                <w:lang w:eastAsia="zh-CN"/>
              </w:rPr>
              <w:t>及除尘灰</w:t>
            </w:r>
            <w:r>
              <w:rPr>
                <w:rFonts w:hint="default" w:ascii="Times New Roman" w:hAnsi="Times New Roman" w:cs="Times New Roman"/>
                <w:bCs/>
                <w:color w:val="auto"/>
                <w:szCs w:val="21"/>
                <w:highlight w:val="none"/>
              </w:rPr>
              <w:t>储存至锅炉房内，封闭及洒水，则不考虑其产生的粉尘影响。依据《排污许可证申请与核发技术规范 锅炉》（HJ953-2018）表7锅炉烟气污染防治可行技术中“颗粒物采用旋风除尘和袋式除尘组合技术”，本项目生物质锅炉产生的烟气</w:t>
            </w:r>
            <w:r>
              <w:rPr>
                <w:rFonts w:hint="default" w:ascii="Times New Roman" w:hAnsi="Times New Roman" w:cs="Times New Roman"/>
                <w:bCs/>
                <w:color w:val="auto"/>
                <w:szCs w:val="21"/>
                <w:highlight w:val="none"/>
                <w:lang w:eastAsia="zh-CN"/>
              </w:rPr>
              <w:t>量较少，</w:t>
            </w:r>
            <w:r>
              <w:rPr>
                <w:rFonts w:hint="default" w:ascii="Times New Roman" w:hAnsi="Times New Roman" w:cs="Times New Roman"/>
                <w:bCs/>
                <w:color w:val="auto"/>
                <w:szCs w:val="21"/>
                <w:highlight w:val="none"/>
              </w:rPr>
              <w:t>经</w:t>
            </w:r>
            <w:r>
              <w:rPr>
                <w:rFonts w:hint="default" w:ascii="Times New Roman" w:hAnsi="Times New Roman" w:cs="Times New Roman"/>
                <w:bCs/>
                <w:color w:val="auto"/>
                <w:szCs w:val="21"/>
                <w:highlight w:val="none"/>
                <w:lang w:eastAsia="zh-CN"/>
              </w:rPr>
              <w:t>旋风+</w:t>
            </w:r>
            <w:r>
              <w:rPr>
                <w:rFonts w:hint="default" w:ascii="Times New Roman" w:hAnsi="Times New Roman" w:cs="Times New Roman"/>
                <w:bCs/>
                <w:color w:val="auto"/>
                <w:szCs w:val="21"/>
                <w:highlight w:val="none"/>
                <w:lang w:eastAsia="zh-CN"/>
              </w:rPr>
              <w:t>布袋除尘器</w:t>
            </w:r>
            <w:r>
              <w:rPr>
                <w:rFonts w:hint="default" w:ascii="Times New Roman" w:hAnsi="Times New Roman" w:cs="Times New Roman"/>
                <w:bCs/>
                <w:color w:val="auto"/>
                <w:szCs w:val="21"/>
                <w:highlight w:val="none"/>
              </w:rPr>
              <w:t>处理后</w:t>
            </w:r>
            <w:r>
              <w:rPr>
                <w:rFonts w:hint="default" w:ascii="Times New Roman" w:hAnsi="Times New Roman" w:cs="Times New Roman"/>
                <w:bCs/>
                <w:color w:val="auto"/>
                <w:szCs w:val="21"/>
                <w:highlight w:val="none"/>
                <w:lang w:eastAsia="zh-CN"/>
              </w:rPr>
              <w:t>达标</w:t>
            </w:r>
            <w:r>
              <w:rPr>
                <w:rFonts w:hint="default" w:ascii="Times New Roman" w:hAnsi="Times New Roman" w:cs="Times New Roman"/>
                <w:bCs/>
                <w:color w:val="auto"/>
                <w:szCs w:val="21"/>
                <w:highlight w:val="none"/>
              </w:rPr>
              <w:t>排放。因此，为可行技术。</w:t>
            </w:r>
          </w:p>
          <w:p w14:paraId="6230162C">
            <w:pPr>
              <w:adjustRightInd w:val="0"/>
              <w:snapToGrid w:val="0"/>
              <w:spacing w:line="360" w:lineRule="auto"/>
              <w:ind w:left="420" w:left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（4）监测要求</w:t>
            </w:r>
          </w:p>
          <w:p w14:paraId="60F4BCFC">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根据《排污单位自行监测技术指南总则》</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HJ819-2017</w:t>
            </w:r>
            <w:r>
              <w:rPr>
                <w:rFonts w:hint="default" w:ascii="Times New Roman" w:hAnsi="Times New Roman" w:cs="Times New Roman"/>
                <w:bCs/>
                <w:color w:val="auto"/>
                <w:szCs w:val="21"/>
                <w:highlight w:val="none"/>
                <w:lang w:eastAsia="zh-CN"/>
              </w:rPr>
              <w:t>）、《排污许可证申请核发与技术规范</w:t>
            </w:r>
            <w:r>
              <w:rPr>
                <w:rFonts w:hint="default" w:ascii="Times New Roman" w:hAnsi="Times New Roman" w:cs="Times New Roman"/>
                <w:bCs/>
                <w:color w:val="auto"/>
                <w:szCs w:val="21"/>
                <w:highlight w:val="none"/>
                <w:lang w:val="en-US" w:eastAsia="zh-CN"/>
              </w:rPr>
              <w:t xml:space="preserve"> 工业固体废物</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HJ1200-2021</w:t>
            </w:r>
            <w:r>
              <w:rPr>
                <w:rFonts w:hint="default" w:ascii="Times New Roman" w:hAnsi="Times New Roman" w:cs="Times New Roman"/>
                <w:bCs/>
                <w:color w:val="auto"/>
                <w:szCs w:val="21"/>
                <w:highlight w:val="none"/>
                <w:lang w:eastAsia="zh-CN"/>
              </w:rPr>
              <w:t>）及</w:t>
            </w:r>
            <w:r>
              <w:rPr>
                <w:rFonts w:hint="default" w:ascii="Times New Roman" w:hAnsi="Times New Roman" w:cs="Times New Roman"/>
                <w:bCs/>
                <w:color w:val="auto"/>
                <w:szCs w:val="21"/>
                <w:highlight w:val="none"/>
              </w:rPr>
              <w:t>《排污单位自行监测技术指南 火力发电及锅炉》（HJ820-2017），废气监测要求详见表4-4。</w:t>
            </w:r>
          </w:p>
          <w:p w14:paraId="549BD81C">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表4-4  监测要求</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24"/>
              <w:gridCol w:w="1324"/>
              <w:gridCol w:w="1324"/>
              <w:gridCol w:w="2650"/>
            </w:tblGrid>
            <w:tr w14:paraId="2502A3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noWrap w:val="0"/>
                  <w:vAlign w:val="center"/>
                </w:tcPr>
                <w:p w14:paraId="77583647">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监测类别</w:t>
                  </w:r>
                </w:p>
              </w:tc>
              <w:tc>
                <w:tcPr>
                  <w:tcW w:w="1324" w:type="dxa"/>
                  <w:noWrap w:val="0"/>
                  <w:vAlign w:val="center"/>
                </w:tcPr>
                <w:p w14:paraId="15572FCE">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监测点位</w:t>
                  </w:r>
                </w:p>
              </w:tc>
              <w:tc>
                <w:tcPr>
                  <w:tcW w:w="1324" w:type="dxa"/>
                  <w:noWrap w:val="0"/>
                  <w:vAlign w:val="center"/>
                </w:tcPr>
                <w:p w14:paraId="649B34E9">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监测因子</w:t>
                  </w:r>
                </w:p>
              </w:tc>
              <w:tc>
                <w:tcPr>
                  <w:tcW w:w="1324" w:type="dxa"/>
                  <w:noWrap w:val="0"/>
                  <w:vAlign w:val="center"/>
                </w:tcPr>
                <w:p w14:paraId="0316EAF6">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监测频次</w:t>
                  </w:r>
                </w:p>
              </w:tc>
              <w:tc>
                <w:tcPr>
                  <w:tcW w:w="2650" w:type="dxa"/>
                  <w:noWrap w:val="0"/>
                  <w:vAlign w:val="center"/>
                </w:tcPr>
                <w:p w14:paraId="03571B6F">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执行标准</w:t>
                  </w:r>
                </w:p>
              </w:tc>
            </w:tr>
            <w:tr w14:paraId="4F6411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restart"/>
                  <w:noWrap w:val="0"/>
                  <w:vAlign w:val="center"/>
                </w:tcPr>
                <w:p w14:paraId="529FB5DA">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有组织废气</w:t>
                  </w:r>
                </w:p>
              </w:tc>
              <w:tc>
                <w:tcPr>
                  <w:tcW w:w="1324" w:type="dxa"/>
                  <w:vMerge w:val="restart"/>
                  <w:noWrap w:val="0"/>
                  <w:vAlign w:val="center"/>
                </w:tcPr>
                <w:p w14:paraId="3EA5D875">
                  <w:pPr>
                    <w:adjustRightInd w:val="0"/>
                    <w:snapToGrid w:val="0"/>
                    <w:jc w:val="center"/>
                    <w:rPr>
                      <w:rFonts w:hint="default" w:ascii="Times New Roman" w:hAnsi="Times New Roman" w:eastAsia="宋体" w:cs="Times New Roman"/>
                      <w:bCs/>
                      <w:color w:val="auto"/>
                      <w:sz w:val="18"/>
                      <w:szCs w:val="18"/>
                      <w:highlight w:val="none"/>
                      <w:lang w:eastAsia="zh-CN"/>
                    </w:rPr>
                  </w:pPr>
                  <w:r>
                    <w:rPr>
                      <w:rFonts w:hint="default" w:ascii="Times New Roman" w:hAnsi="Times New Roman" w:cs="Times New Roman"/>
                      <w:color w:val="auto"/>
                      <w:sz w:val="18"/>
                      <w:szCs w:val="18"/>
                      <w:highlight w:val="none"/>
                    </w:rPr>
                    <w:t>DA001</w:t>
                  </w:r>
                  <w:r>
                    <w:rPr>
                      <w:rFonts w:hint="default" w:ascii="Times New Roman" w:hAnsi="Times New Roman" w:cs="Times New Roman"/>
                      <w:color w:val="auto"/>
                      <w:sz w:val="18"/>
                      <w:szCs w:val="18"/>
                      <w:highlight w:val="none"/>
                      <w:lang w:eastAsia="zh-CN"/>
                    </w:rPr>
                    <w:t>烟囱</w:t>
                  </w:r>
                </w:p>
              </w:tc>
              <w:tc>
                <w:tcPr>
                  <w:tcW w:w="1324" w:type="dxa"/>
                  <w:noWrap w:val="0"/>
                  <w:vAlign w:val="center"/>
                </w:tcPr>
                <w:p w14:paraId="5D7788C1">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颗粒物</w:t>
                  </w:r>
                </w:p>
              </w:tc>
              <w:tc>
                <w:tcPr>
                  <w:tcW w:w="1324" w:type="dxa"/>
                  <w:vMerge w:val="restart"/>
                  <w:noWrap w:val="0"/>
                  <w:vAlign w:val="center"/>
                </w:tcPr>
                <w:p w14:paraId="3CC53BEE">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1次/月</w:t>
                  </w:r>
                </w:p>
              </w:tc>
              <w:tc>
                <w:tcPr>
                  <w:tcW w:w="2650" w:type="dxa"/>
                  <w:vMerge w:val="restart"/>
                  <w:noWrap w:val="0"/>
                  <w:vAlign w:val="center"/>
                </w:tcPr>
                <w:p w14:paraId="39256986">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《锅炉大气污染物排放标准》（GB13271-2014）表2中“燃煤锅炉”排放标准</w:t>
                  </w:r>
                </w:p>
              </w:tc>
            </w:tr>
            <w:tr w14:paraId="35F6C7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center"/>
                </w:tcPr>
                <w:p w14:paraId="4C813BCF">
                  <w:pPr>
                    <w:adjustRightInd w:val="0"/>
                    <w:snapToGrid w:val="0"/>
                    <w:jc w:val="center"/>
                    <w:rPr>
                      <w:rFonts w:hint="default" w:ascii="Times New Roman" w:hAnsi="Times New Roman" w:cs="Times New Roman"/>
                      <w:bCs/>
                      <w:color w:val="auto"/>
                      <w:sz w:val="18"/>
                      <w:szCs w:val="18"/>
                      <w:highlight w:val="none"/>
                    </w:rPr>
                  </w:pPr>
                </w:p>
              </w:tc>
              <w:tc>
                <w:tcPr>
                  <w:tcW w:w="1324" w:type="dxa"/>
                  <w:vMerge w:val="continue"/>
                  <w:noWrap w:val="0"/>
                  <w:vAlign w:val="center"/>
                </w:tcPr>
                <w:p w14:paraId="7DC61F67">
                  <w:pPr>
                    <w:adjustRightInd w:val="0"/>
                    <w:snapToGrid w:val="0"/>
                    <w:jc w:val="center"/>
                    <w:rPr>
                      <w:rFonts w:hint="default" w:ascii="Times New Roman" w:hAnsi="Times New Roman" w:cs="Times New Roman"/>
                      <w:bCs/>
                      <w:color w:val="auto"/>
                      <w:sz w:val="18"/>
                      <w:szCs w:val="18"/>
                      <w:highlight w:val="none"/>
                    </w:rPr>
                  </w:pPr>
                </w:p>
              </w:tc>
              <w:tc>
                <w:tcPr>
                  <w:tcW w:w="1324" w:type="dxa"/>
                  <w:noWrap w:val="0"/>
                  <w:vAlign w:val="center"/>
                </w:tcPr>
                <w:p w14:paraId="778BEF55">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1324" w:type="dxa"/>
                  <w:vMerge w:val="continue"/>
                  <w:noWrap w:val="0"/>
                  <w:vAlign w:val="center"/>
                </w:tcPr>
                <w:p w14:paraId="47ED3587">
                  <w:pPr>
                    <w:adjustRightInd w:val="0"/>
                    <w:snapToGrid w:val="0"/>
                    <w:jc w:val="center"/>
                    <w:rPr>
                      <w:rFonts w:hint="default" w:ascii="Times New Roman" w:hAnsi="Times New Roman" w:cs="Times New Roman"/>
                      <w:bCs/>
                      <w:color w:val="auto"/>
                      <w:sz w:val="18"/>
                      <w:szCs w:val="18"/>
                      <w:highlight w:val="none"/>
                    </w:rPr>
                  </w:pPr>
                </w:p>
              </w:tc>
              <w:tc>
                <w:tcPr>
                  <w:tcW w:w="2650" w:type="dxa"/>
                  <w:vMerge w:val="continue"/>
                  <w:noWrap w:val="0"/>
                  <w:vAlign w:val="center"/>
                </w:tcPr>
                <w:p w14:paraId="35F2DFFF">
                  <w:pPr>
                    <w:adjustRightInd w:val="0"/>
                    <w:snapToGrid w:val="0"/>
                    <w:jc w:val="center"/>
                    <w:rPr>
                      <w:rFonts w:hint="default" w:ascii="Times New Roman" w:hAnsi="Times New Roman" w:cs="Times New Roman"/>
                      <w:bCs/>
                      <w:color w:val="auto"/>
                      <w:sz w:val="18"/>
                      <w:szCs w:val="18"/>
                      <w:highlight w:val="none"/>
                    </w:rPr>
                  </w:pPr>
                </w:p>
              </w:tc>
            </w:tr>
            <w:tr w14:paraId="4B2EFD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center"/>
                </w:tcPr>
                <w:p w14:paraId="54FA519A">
                  <w:pPr>
                    <w:adjustRightInd w:val="0"/>
                    <w:snapToGrid w:val="0"/>
                    <w:jc w:val="center"/>
                    <w:rPr>
                      <w:rFonts w:hint="default" w:ascii="Times New Roman" w:hAnsi="Times New Roman" w:cs="Times New Roman"/>
                      <w:bCs/>
                      <w:color w:val="auto"/>
                      <w:sz w:val="18"/>
                      <w:szCs w:val="18"/>
                      <w:highlight w:val="none"/>
                    </w:rPr>
                  </w:pPr>
                </w:p>
              </w:tc>
              <w:tc>
                <w:tcPr>
                  <w:tcW w:w="1324" w:type="dxa"/>
                  <w:vMerge w:val="continue"/>
                  <w:noWrap w:val="0"/>
                  <w:vAlign w:val="center"/>
                </w:tcPr>
                <w:p w14:paraId="6B6EF3DB">
                  <w:pPr>
                    <w:adjustRightInd w:val="0"/>
                    <w:snapToGrid w:val="0"/>
                    <w:jc w:val="center"/>
                    <w:rPr>
                      <w:rFonts w:hint="default" w:ascii="Times New Roman" w:hAnsi="Times New Roman" w:cs="Times New Roman"/>
                      <w:bCs/>
                      <w:color w:val="auto"/>
                      <w:sz w:val="18"/>
                      <w:szCs w:val="18"/>
                      <w:highlight w:val="none"/>
                    </w:rPr>
                  </w:pPr>
                </w:p>
              </w:tc>
              <w:tc>
                <w:tcPr>
                  <w:tcW w:w="1324" w:type="dxa"/>
                  <w:noWrap w:val="0"/>
                  <w:vAlign w:val="center"/>
                </w:tcPr>
                <w:p w14:paraId="48EF758F">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X</w:t>
                  </w:r>
                </w:p>
              </w:tc>
              <w:tc>
                <w:tcPr>
                  <w:tcW w:w="1324" w:type="dxa"/>
                  <w:vMerge w:val="continue"/>
                  <w:noWrap w:val="0"/>
                  <w:vAlign w:val="center"/>
                </w:tcPr>
                <w:p w14:paraId="76A35C45">
                  <w:pPr>
                    <w:adjustRightInd w:val="0"/>
                    <w:snapToGrid w:val="0"/>
                    <w:jc w:val="center"/>
                    <w:rPr>
                      <w:rFonts w:hint="default" w:ascii="Times New Roman" w:hAnsi="Times New Roman" w:cs="Times New Roman"/>
                      <w:bCs/>
                      <w:color w:val="auto"/>
                      <w:sz w:val="18"/>
                      <w:szCs w:val="18"/>
                      <w:highlight w:val="none"/>
                    </w:rPr>
                  </w:pPr>
                </w:p>
              </w:tc>
              <w:tc>
                <w:tcPr>
                  <w:tcW w:w="2650" w:type="dxa"/>
                  <w:vMerge w:val="continue"/>
                  <w:noWrap w:val="0"/>
                  <w:vAlign w:val="center"/>
                </w:tcPr>
                <w:p w14:paraId="51FFDA34">
                  <w:pPr>
                    <w:adjustRightInd w:val="0"/>
                    <w:snapToGrid w:val="0"/>
                    <w:jc w:val="center"/>
                    <w:rPr>
                      <w:rFonts w:hint="default" w:ascii="Times New Roman" w:hAnsi="Times New Roman" w:cs="Times New Roman"/>
                      <w:bCs/>
                      <w:color w:val="auto"/>
                      <w:sz w:val="18"/>
                      <w:szCs w:val="18"/>
                      <w:highlight w:val="none"/>
                    </w:rPr>
                  </w:pPr>
                </w:p>
              </w:tc>
            </w:tr>
            <w:tr w14:paraId="64A81E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24" w:type="dxa"/>
                  <w:vMerge w:val="continue"/>
                  <w:noWrap w:val="0"/>
                  <w:vAlign w:val="top"/>
                </w:tcPr>
                <w:p w14:paraId="3CB394D2">
                  <w:pPr>
                    <w:adjustRightInd w:val="0"/>
                    <w:snapToGrid w:val="0"/>
                    <w:jc w:val="center"/>
                    <w:rPr>
                      <w:rFonts w:hint="default" w:ascii="Times New Roman" w:hAnsi="Times New Roman" w:cs="Times New Roman"/>
                      <w:bCs/>
                      <w:color w:val="auto"/>
                      <w:sz w:val="18"/>
                      <w:szCs w:val="18"/>
                      <w:highlight w:val="none"/>
                    </w:rPr>
                  </w:pPr>
                </w:p>
              </w:tc>
              <w:tc>
                <w:tcPr>
                  <w:tcW w:w="1324" w:type="dxa"/>
                  <w:vMerge w:val="continue"/>
                  <w:noWrap w:val="0"/>
                  <w:vAlign w:val="top"/>
                </w:tcPr>
                <w:p w14:paraId="28292CAC">
                  <w:pPr>
                    <w:adjustRightInd w:val="0"/>
                    <w:snapToGrid w:val="0"/>
                    <w:jc w:val="center"/>
                    <w:rPr>
                      <w:rFonts w:hint="default" w:ascii="Times New Roman" w:hAnsi="Times New Roman" w:cs="Times New Roman"/>
                      <w:bCs/>
                      <w:color w:val="auto"/>
                      <w:sz w:val="18"/>
                      <w:szCs w:val="18"/>
                      <w:highlight w:val="none"/>
                    </w:rPr>
                  </w:pPr>
                </w:p>
              </w:tc>
              <w:tc>
                <w:tcPr>
                  <w:tcW w:w="0" w:type="auto"/>
                  <w:noWrap w:val="0"/>
                  <w:vAlign w:val="center"/>
                </w:tcPr>
                <w:p w14:paraId="13A10355">
                  <w:pPr>
                    <w:adjustRightInd w:val="0"/>
                    <w:snapToGrid w:val="0"/>
                    <w:jc w:val="center"/>
                    <w:rPr>
                      <w:rFonts w:hint="default" w:ascii="Times New Roman" w:hAnsi="Times New Roman" w:cs="Times New Roman"/>
                      <w:bCs/>
                      <w:color w:val="auto"/>
                      <w:kern w:val="2"/>
                      <w:sz w:val="18"/>
                      <w:szCs w:val="18"/>
                      <w:highlight w:val="none"/>
                      <w:lang w:val="en-US" w:eastAsia="zh-CN" w:bidi="ar-SA"/>
                    </w:rPr>
                  </w:pPr>
                  <w:r>
                    <w:rPr>
                      <w:rFonts w:hint="default" w:ascii="Times New Roman" w:hAnsi="Times New Roman" w:cs="Times New Roman"/>
                      <w:bCs/>
                      <w:color w:val="auto"/>
                      <w:sz w:val="18"/>
                      <w:szCs w:val="18"/>
                      <w:highlight w:val="none"/>
                    </w:rPr>
                    <w:t>烟气黑度</w:t>
                  </w:r>
                </w:p>
              </w:tc>
              <w:tc>
                <w:tcPr>
                  <w:tcW w:w="1324" w:type="dxa"/>
                  <w:vMerge w:val="continue"/>
                  <w:noWrap w:val="0"/>
                  <w:vAlign w:val="top"/>
                </w:tcPr>
                <w:p w14:paraId="31F59790">
                  <w:pPr>
                    <w:adjustRightInd w:val="0"/>
                    <w:snapToGrid w:val="0"/>
                    <w:jc w:val="center"/>
                    <w:rPr>
                      <w:rFonts w:hint="default" w:ascii="Times New Roman" w:hAnsi="Times New Roman" w:cs="Times New Roman"/>
                      <w:bCs/>
                      <w:color w:val="auto"/>
                      <w:sz w:val="18"/>
                      <w:szCs w:val="18"/>
                      <w:highlight w:val="none"/>
                    </w:rPr>
                  </w:pPr>
                </w:p>
              </w:tc>
              <w:tc>
                <w:tcPr>
                  <w:tcW w:w="2650" w:type="dxa"/>
                  <w:vMerge w:val="continue"/>
                  <w:noWrap w:val="0"/>
                  <w:vAlign w:val="top"/>
                </w:tcPr>
                <w:p w14:paraId="03EF691E">
                  <w:pPr>
                    <w:adjustRightInd w:val="0"/>
                    <w:snapToGrid w:val="0"/>
                    <w:jc w:val="center"/>
                    <w:rPr>
                      <w:rFonts w:hint="default" w:ascii="Times New Roman" w:hAnsi="Times New Roman" w:cs="Times New Roman"/>
                      <w:bCs/>
                      <w:color w:val="auto"/>
                      <w:sz w:val="18"/>
                      <w:szCs w:val="18"/>
                      <w:highlight w:val="none"/>
                    </w:rPr>
                  </w:pPr>
                </w:p>
              </w:tc>
            </w:tr>
          </w:tbl>
          <w:p w14:paraId="5197ABA0">
            <w:pPr>
              <w:adjustRightInd w:val="0"/>
              <w:snapToGrid w:val="0"/>
              <w:rPr>
                <w:rFonts w:hint="default" w:ascii="Times New Roman" w:hAnsi="Times New Roman" w:cs="Times New Roman"/>
                <w:bCs/>
                <w:color w:val="auto"/>
                <w:szCs w:val="21"/>
                <w:highlight w:val="none"/>
              </w:rPr>
            </w:pPr>
          </w:p>
          <w:p w14:paraId="43AEE20D">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（5）非正常排放</w:t>
            </w:r>
          </w:p>
          <w:p w14:paraId="2B5ACE97">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本项目非正常排放原因主要为</w:t>
            </w:r>
            <w:r>
              <w:rPr>
                <w:rFonts w:hint="default" w:ascii="Times New Roman" w:hAnsi="Times New Roman" w:cs="Times New Roman"/>
                <w:bCs/>
                <w:color w:val="auto"/>
                <w:szCs w:val="21"/>
                <w:highlight w:val="none"/>
                <w:lang w:eastAsia="zh-CN"/>
              </w:rPr>
              <w:t>旋风+</w:t>
            </w:r>
            <w:r>
              <w:rPr>
                <w:rFonts w:hint="default" w:ascii="Times New Roman" w:hAnsi="Times New Roman" w:cs="Times New Roman"/>
                <w:bCs/>
                <w:color w:val="auto"/>
                <w:szCs w:val="21"/>
                <w:highlight w:val="none"/>
                <w:lang w:eastAsia="zh-CN"/>
              </w:rPr>
              <w:t>布袋除尘器</w:t>
            </w:r>
            <w:r>
              <w:rPr>
                <w:rFonts w:hint="default" w:ascii="Times New Roman" w:hAnsi="Times New Roman" w:cs="Times New Roman"/>
                <w:bCs/>
                <w:color w:val="auto"/>
                <w:szCs w:val="21"/>
                <w:highlight w:val="none"/>
              </w:rPr>
              <w:t>失效，治理效率为</w:t>
            </w:r>
            <w:r>
              <w:rPr>
                <w:rFonts w:hint="default" w:ascii="Times New Roman" w:hAnsi="Times New Roman" w:cs="Times New Roman"/>
                <w:bCs/>
                <w:color w:val="auto"/>
                <w:szCs w:val="21"/>
                <w:highlight w:val="none"/>
                <w:lang w:val="en-US" w:eastAsia="zh-CN"/>
              </w:rPr>
              <w:t>9</w:t>
            </w:r>
            <w:r>
              <w:rPr>
                <w:rFonts w:hint="default" w:ascii="Times New Roman" w:hAnsi="Times New Roman" w:cs="Times New Roman"/>
                <w:bCs/>
                <w:color w:val="auto"/>
                <w:szCs w:val="21"/>
                <w:highlight w:val="none"/>
              </w:rPr>
              <w:t>0</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rPr>
              <w:t>时，详见表4-5。</w:t>
            </w:r>
          </w:p>
          <w:p w14:paraId="680D3E1F">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表4-5  非正常排放情况</w:t>
            </w:r>
          </w:p>
          <w:tbl>
            <w:tblPr>
              <w:tblStyle w:val="13"/>
              <w:tblW w:w="797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29"/>
              <w:gridCol w:w="1329"/>
              <w:gridCol w:w="1126"/>
              <w:gridCol w:w="1176"/>
              <w:gridCol w:w="1688"/>
            </w:tblGrid>
            <w:tr w14:paraId="02CB5B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29" w:type="dxa"/>
                  <w:noWrap w:val="0"/>
                  <w:vAlign w:val="center"/>
                </w:tcPr>
                <w:p w14:paraId="474959DD">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排放口编号</w:t>
                  </w:r>
                </w:p>
              </w:tc>
              <w:tc>
                <w:tcPr>
                  <w:tcW w:w="1329" w:type="dxa"/>
                  <w:noWrap w:val="0"/>
                  <w:vAlign w:val="center"/>
                </w:tcPr>
                <w:p w14:paraId="025558C0">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名称</w:t>
                  </w:r>
                </w:p>
              </w:tc>
              <w:tc>
                <w:tcPr>
                  <w:tcW w:w="1329" w:type="dxa"/>
                  <w:noWrap w:val="0"/>
                  <w:vAlign w:val="center"/>
                </w:tcPr>
                <w:p w14:paraId="5407AB6A">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排放速率kg/h</w:t>
                  </w:r>
                </w:p>
              </w:tc>
              <w:tc>
                <w:tcPr>
                  <w:tcW w:w="1126" w:type="dxa"/>
                  <w:noWrap w:val="0"/>
                  <w:vAlign w:val="center"/>
                </w:tcPr>
                <w:p w14:paraId="4C2CE0C4">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单次持续时间h</w:t>
                  </w:r>
                </w:p>
              </w:tc>
              <w:tc>
                <w:tcPr>
                  <w:tcW w:w="1176" w:type="dxa"/>
                  <w:noWrap w:val="0"/>
                  <w:vAlign w:val="center"/>
                </w:tcPr>
                <w:p w14:paraId="5FF9FB11">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发生频次/年</w:t>
                  </w:r>
                </w:p>
              </w:tc>
              <w:tc>
                <w:tcPr>
                  <w:tcW w:w="1688" w:type="dxa"/>
                  <w:noWrap w:val="0"/>
                  <w:vAlign w:val="center"/>
                </w:tcPr>
                <w:p w14:paraId="1D845F6B">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应对措施</w:t>
                  </w:r>
                </w:p>
              </w:tc>
            </w:tr>
            <w:tr w14:paraId="1F53CD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29" w:type="dxa"/>
                  <w:noWrap w:val="0"/>
                  <w:vAlign w:val="center"/>
                </w:tcPr>
                <w:p w14:paraId="23464714">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color w:val="auto"/>
                      <w:sz w:val="18"/>
                      <w:szCs w:val="18"/>
                      <w:highlight w:val="none"/>
                    </w:rPr>
                    <w:t>DA001</w:t>
                  </w:r>
                </w:p>
              </w:tc>
              <w:tc>
                <w:tcPr>
                  <w:tcW w:w="1329" w:type="dxa"/>
                  <w:noWrap w:val="0"/>
                  <w:vAlign w:val="center"/>
                </w:tcPr>
                <w:p w14:paraId="4FE1AAA2">
                  <w:pPr>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颗粒物</w:t>
                  </w:r>
                </w:p>
              </w:tc>
              <w:tc>
                <w:tcPr>
                  <w:tcW w:w="1329" w:type="dxa"/>
                  <w:noWrap w:val="0"/>
                  <w:vAlign w:val="center"/>
                </w:tcPr>
                <w:p w14:paraId="6A45206C">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0.90</w:t>
                  </w:r>
                </w:p>
              </w:tc>
              <w:tc>
                <w:tcPr>
                  <w:tcW w:w="1126" w:type="dxa"/>
                  <w:noWrap w:val="0"/>
                  <w:vAlign w:val="center"/>
                </w:tcPr>
                <w:p w14:paraId="2152CB0A">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0.5</w:t>
                  </w:r>
                </w:p>
              </w:tc>
              <w:tc>
                <w:tcPr>
                  <w:tcW w:w="1176" w:type="dxa"/>
                  <w:noWrap w:val="0"/>
                  <w:vAlign w:val="center"/>
                </w:tcPr>
                <w:p w14:paraId="7F7C80A5">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1</w:t>
                  </w:r>
                </w:p>
              </w:tc>
              <w:tc>
                <w:tcPr>
                  <w:tcW w:w="1688" w:type="dxa"/>
                  <w:noWrap w:val="0"/>
                  <w:vAlign w:val="center"/>
                </w:tcPr>
                <w:p w14:paraId="72C7A97C">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停止运行，设备进行检修维护</w:t>
                  </w:r>
                </w:p>
              </w:tc>
            </w:tr>
          </w:tbl>
          <w:p w14:paraId="37902471">
            <w:pPr>
              <w:adjustRightInd w:val="0"/>
              <w:snapToGrid w:val="0"/>
              <w:spacing w:line="360" w:lineRule="auto"/>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（6）锅炉排气筒高度的可行性分析</w:t>
            </w:r>
          </w:p>
          <w:p w14:paraId="064A0AC0">
            <w:pPr>
              <w:adjustRightInd w:val="0"/>
              <w:snapToGrid w:val="0"/>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根据《锅炉大气污染物排放标准》（GB13271-2014）中4.5可知，3t/h生物质锅炉烟囱最低允许高度为30m；本项目周围200米内最建筑均低于27m，烟囱高于周围半径200m范围内建筑物3m以上，符合《锅炉大气污染物排放标准》（GB13271-2014）的标准要求。</w:t>
            </w:r>
          </w:p>
          <w:p w14:paraId="16BEF25C">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7</w:t>
            </w:r>
            <w:r>
              <w:rPr>
                <w:rFonts w:hint="default" w:ascii="Times New Roman" w:hAnsi="Times New Roman" w:cs="Times New Roman"/>
                <w:bCs/>
                <w:color w:val="auto"/>
                <w:szCs w:val="21"/>
                <w:highlight w:val="none"/>
              </w:rPr>
              <w:t>）环境影响分析</w:t>
            </w:r>
          </w:p>
          <w:p w14:paraId="6C202E55">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本项目所在区域环境质量污染物</w:t>
            </w:r>
            <w:r>
              <w:rPr>
                <w:rFonts w:hint="default" w:ascii="Times New Roman" w:hAnsi="Times New Roman" w:cs="Times New Roman"/>
                <w:color w:val="auto"/>
                <w:kern w:val="0"/>
                <w:szCs w:val="21"/>
                <w:highlight w:val="none"/>
                <w:lang w:eastAsia="zh-CN"/>
              </w:rPr>
              <w:t>不</w:t>
            </w:r>
            <w:r>
              <w:rPr>
                <w:rFonts w:hint="default" w:ascii="Times New Roman" w:hAnsi="Times New Roman" w:cs="Times New Roman"/>
                <w:bCs/>
                <w:color w:val="auto"/>
                <w:szCs w:val="21"/>
                <w:highlight w:val="none"/>
              </w:rPr>
              <w:t>达标</w:t>
            </w:r>
            <w:r>
              <w:rPr>
                <w:rFonts w:hint="default" w:ascii="Times New Roman" w:hAnsi="Times New Roman" w:cs="Times New Roman"/>
                <w:bCs/>
                <w:color w:val="auto"/>
                <w:szCs w:val="21"/>
                <w:highlight w:val="none"/>
                <w:lang w:eastAsia="zh-CN"/>
              </w:rPr>
              <w:t>，超标因子为</w:t>
            </w:r>
            <w:r>
              <w:rPr>
                <w:rFonts w:hint="default" w:ascii="Times New Roman" w:hAnsi="Times New Roman" w:cs="Times New Roman"/>
                <w:bCs/>
                <w:color w:val="auto"/>
                <w:szCs w:val="21"/>
                <w:highlight w:val="none"/>
                <w:lang w:val="en-US" w:eastAsia="zh-CN"/>
              </w:rPr>
              <w:t>PM</w:t>
            </w:r>
            <w:r>
              <w:rPr>
                <w:rFonts w:hint="default" w:ascii="Times New Roman" w:hAnsi="Times New Roman" w:cs="Times New Roman"/>
                <w:bCs/>
                <w:color w:val="auto"/>
                <w:szCs w:val="21"/>
                <w:highlight w:val="none"/>
                <w:vertAlign w:val="subscript"/>
                <w:lang w:val="en-US" w:eastAsia="zh-CN"/>
              </w:rPr>
              <w:t>2.5</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rPr>
              <w:t>厂界500m范围内大气环境保护目标</w:t>
            </w:r>
            <w:r>
              <w:rPr>
                <w:rFonts w:hint="default" w:ascii="Times New Roman" w:hAnsi="Times New Roman" w:cs="Times New Roman"/>
                <w:bCs/>
                <w:color w:val="auto"/>
                <w:szCs w:val="21"/>
                <w:highlight w:val="none"/>
                <w:lang w:eastAsia="zh-CN"/>
              </w:rPr>
              <w:t>为居民</w:t>
            </w:r>
            <w:r>
              <w:rPr>
                <w:rFonts w:hint="default" w:ascii="Times New Roman" w:hAnsi="Times New Roman" w:cs="Times New Roman"/>
                <w:bCs/>
                <w:color w:val="auto"/>
                <w:szCs w:val="21"/>
                <w:highlight w:val="none"/>
              </w:rPr>
              <w:t>。本项目锅炉产生的烟气经</w:t>
            </w:r>
            <w:r>
              <w:rPr>
                <w:rFonts w:hint="default" w:ascii="Times New Roman" w:hAnsi="Times New Roman" w:cs="Times New Roman"/>
                <w:bCs/>
                <w:color w:val="auto"/>
                <w:szCs w:val="21"/>
                <w:highlight w:val="none"/>
                <w:lang w:eastAsia="zh-CN"/>
              </w:rPr>
              <w:t>旋风</w:t>
            </w:r>
            <w:r>
              <w:rPr>
                <w:rFonts w:hint="default" w:ascii="Times New Roman" w:hAnsi="Times New Roman" w:cs="Times New Roman"/>
                <w:bCs/>
                <w:color w:val="auto"/>
                <w:szCs w:val="21"/>
                <w:highlight w:val="none"/>
                <w:lang w:val="en-US" w:eastAsia="zh-CN"/>
              </w:rPr>
              <w:t>+</w:t>
            </w:r>
            <w:r>
              <w:rPr>
                <w:rFonts w:hint="default" w:ascii="Times New Roman" w:hAnsi="Times New Roman" w:cs="Times New Roman"/>
                <w:bCs/>
                <w:color w:val="auto"/>
                <w:szCs w:val="21"/>
                <w:highlight w:val="none"/>
                <w:lang w:eastAsia="zh-CN"/>
              </w:rPr>
              <w:t>布袋除尘器</w:t>
            </w:r>
            <w:r>
              <w:rPr>
                <w:rFonts w:hint="default" w:ascii="Times New Roman" w:hAnsi="Times New Roman" w:cs="Times New Roman"/>
                <w:bCs/>
                <w:color w:val="auto"/>
                <w:szCs w:val="21"/>
                <w:highlight w:val="none"/>
              </w:rPr>
              <w:t>处理后，由</w:t>
            </w:r>
            <w:r>
              <w:rPr>
                <w:rFonts w:hint="default" w:ascii="Times New Roman" w:hAnsi="Times New Roman" w:cs="Times New Roman"/>
                <w:bCs/>
                <w:color w:val="auto"/>
                <w:szCs w:val="21"/>
                <w:highlight w:val="none"/>
                <w:lang w:val="en-US" w:eastAsia="zh-CN"/>
              </w:rPr>
              <w:t>30</w:t>
            </w:r>
            <w:r>
              <w:rPr>
                <w:rFonts w:hint="default" w:ascii="Times New Roman" w:hAnsi="Times New Roman" w:cs="Times New Roman"/>
                <w:bCs/>
                <w:color w:val="auto"/>
                <w:szCs w:val="21"/>
                <w:highlight w:val="none"/>
              </w:rPr>
              <w:t>m高排气筒排放，排放浓度满足《锅炉大气污染物排放标准》（GB13271-2014）表2中“燃煤锅炉”排放标准。</w:t>
            </w:r>
          </w:p>
          <w:p w14:paraId="6F0730FD">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2、废水</w:t>
            </w:r>
          </w:p>
          <w:p w14:paraId="30913FE8">
            <w:pPr>
              <w:numPr>
                <w:ilvl w:val="0"/>
                <w:numId w:val="0"/>
              </w:numPr>
              <w:adjustRightInd w:val="0"/>
              <w:snapToGrid w:val="0"/>
              <w:spacing w:line="360" w:lineRule="auto"/>
              <w:ind w:left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lang w:val="en-US" w:eastAsia="zh-CN"/>
              </w:rPr>
              <w:t>1</w:t>
            </w:r>
            <w:r>
              <w:rPr>
                <w:rFonts w:hint="default" w:ascii="Times New Roman" w:hAnsi="Times New Roman" w:cs="Times New Roman"/>
                <w:bCs/>
                <w:color w:val="auto"/>
                <w:szCs w:val="21"/>
                <w:highlight w:val="none"/>
                <w:lang w:eastAsia="zh-CN"/>
              </w:rPr>
              <w:t>）</w:t>
            </w:r>
            <w:r>
              <w:rPr>
                <w:rFonts w:hint="default" w:ascii="Times New Roman" w:hAnsi="Times New Roman" w:cs="Times New Roman"/>
                <w:bCs/>
                <w:color w:val="auto"/>
                <w:szCs w:val="21"/>
                <w:highlight w:val="none"/>
              </w:rPr>
              <w:t>废水源强</w:t>
            </w:r>
          </w:p>
          <w:p w14:paraId="4F50596B">
            <w:pPr>
              <w:spacing w:line="360" w:lineRule="auto"/>
              <w:ind w:firstLine="420" w:firstLineChars="200"/>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1）生活污水</w:t>
            </w:r>
          </w:p>
          <w:p w14:paraId="23FEDAD8">
            <w:pPr>
              <w:spacing w:line="360" w:lineRule="auto"/>
              <w:ind w:firstLine="420" w:firstLineChars="200"/>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生活污水排放量为</w:t>
            </w:r>
            <w:r>
              <w:rPr>
                <w:rFonts w:hint="default" w:ascii="Times New Roman" w:hAnsi="Times New Roman" w:cs="Times New Roman"/>
                <w:kern w:val="0"/>
                <w:sz w:val="21"/>
                <w:szCs w:val="21"/>
                <w:highlight w:val="none"/>
                <w:lang w:val="en-US" w:eastAsia="zh-CN"/>
              </w:rPr>
              <w:t>128</w:t>
            </w:r>
            <w:r>
              <w:rPr>
                <w:rFonts w:hint="default" w:ascii="Times New Roman" w:hAnsi="Times New Roman" w:cs="Times New Roman"/>
                <w:kern w:val="0"/>
                <w:sz w:val="21"/>
                <w:szCs w:val="21"/>
                <w:highlight w:val="none"/>
              </w:rPr>
              <w:t>t/a，生活污水COD浓度取值320mg/L，氨氮浓度取值25mg/L，BOD</w:t>
            </w:r>
            <w:r>
              <w:rPr>
                <w:rFonts w:hint="default" w:ascii="Times New Roman" w:hAnsi="Times New Roman" w:cs="Times New Roman"/>
                <w:kern w:val="0"/>
                <w:sz w:val="21"/>
                <w:szCs w:val="21"/>
                <w:highlight w:val="none"/>
                <w:vertAlign w:val="subscript"/>
              </w:rPr>
              <w:t>5</w:t>
            </w:r>
            <w:r>
              <w:rPr>
                <w:rFonts w:hint="default" w:ascii="Times New Roman" w:hAnsi="Times New Roman" w:cs="Times New Roman"/>
                <w:kern w:val="0"/>
                <w:sz w:val="21"/>
                <w:szCs w:val="21"/>
                <w:highlight w:val="none"/>
              </w:rPr>
              <w:t>浓度取值200mg/L，SS浓度取值300mg/L。</w:t>
            </w:r>
          </w:p>
          <w:p w14:paraId="34702C04">
            <w:pPr>
              <w:spacing w:line="360" w:lineRule="auto"/>
              <w:ind w:firstLine="420" w:firstLineChars="200"/>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2）生产废水</w:t>
            </w:r>
          </w:p>
          <w:p w14:paraId="0AAD57CA">
            <w:pPr>
              <w:spacing w:line="360" w:lineRule="auto"/>
              <w:ind w:firstLine="420" w:firstLineChars="200"/>
              <w:rPr>
                <w:rFonts w:hint="default" w:ascii="Times New Roman" w:hAnsi="Times New Roman" w:cs="Times New Roman"/>
                <w:kern w:val="0"/>
                <w:sz w:val="21"/>
                <w:szCs w:val="21"/>
                <w:highlight w:val="none"/>
              </w:rPr>
            </w:pPr>
            <w:r>
              <w:rPr>
                <w:rFonts w:hint="default" w:ascii="Times New Roman" w:hAnsi="Times New Roman" w:cs="Times New Roman"/>
                <w:sz w:val="21"/>
                <w:szCs w:val="21"/>
                <w:highlight w:val="none"/>
                <w:lang w:eastAsia="zh-CN"/>
              </w:rPr>
              <w:t>根据上文计算可知，本项目生产废水量为</w:t>
            </w:r>
            <w:r>
              <w:rPr>
                <w:rFonts w:hint="default" w:ascii="Times New Roman" w:hAnsi="Times New Roman" w:cs="Times New Roman"/>
                <w:sz w:val="21"/>
                <w:szCs w:val="21"/>
                <w:highlight w:val="none"/>
                <w:lang w:val="en-US" w:eastAsia="zh-CN"/>
              </w:rPr>
              <w:t>124.16t/a</w:t>
            </w:r>
            <w:r>
              <w:rPr>
                <w:rFonts w:hint="default" w:ascii="Times New Roman" w:hAnsi="Times New Roman" w:cs="Times New Roman"/>
                <w:sz w:val="21"/>
                <w:szCs w:val="21"/>
                <w:highlight w:val="none"/>
              </w:rPr>
              <w:t>；主要污染物为COD、氨氮、SS、BOD</w:t>
            </w:r>
            <w:r>
              <w:rPr>
                <w:rFonts w:hint="default" w:ascii="Times New Roman" w:hAnsi="Times New Roman" w:cs="Times New Roman"/>
                <w:sz w:val="21"/>
                <w:szCs w:val="21"/>
                <w:highlight w:val="none"/>
                <w:vertAlign w:val="subscript"/>
              </w:rPr>
              <w:t>5</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rPr>
              <w:t>排放浓度类比</w:t>
            </w:r>
            <w:r>
              <w:rPr>
                <w:rFonts w:hint="default" w:ascii="Times New Roman" w:hAnsi="Times New Roman" w:cs="Times New Roman"/>
                <w:sz w:val="21"/>
                <w:szCs w:val="21"/>
                <w:highlight w:val="none"/>
                <w:lang w:eastAsia="zh-CN"/>
              </w:rPr>
              <w:t>《青冈县福源农业专业合作社建设项目竣工环境保护验收报告表》</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eastAsia="zh-CN"/>
              </w:rPr>
              <w:t>该项目与本项目</w:t>
            </w:r>
            <w:r>
              <w:rPr>
                <w:rStyle w:val="17"/>
                <w:rFonts w:hint="default" w:ascii="Times New Roman" w:hAnsi="Times New Roman" w:cs="Times New Roman"/>
                <w:kern w:val="0"/>
                <w:sz w:val="21"/>
                <w:szCs w:val="21"/>
                <w:highlight w:val="none"/>
                <w:lang w:eastAsia="zh-CN"/>
              </w:rPr>
              <w:t>工艺流程、产品方案基本一致，污水产生类别一致，类比项目预清洗废水待第二年生产阶段继续回用，本项目因停工时间较长将其外排，因预清洗产生的废水较清洁，本项目污染物产生浓度不会超过类比项目</w:t>
            </w:r>
            <w:r>
              <w:rPr>
                <w:rStyle w:val="17"/>
                <w:rFonts w:hint="default" w:ascii="Times New Roman" w:hAnsi="Times New Roman" w:cs="Times New Roman"/>
                <w:kern w:val="0"/>
                <w:sz w:val="21"/>
                <w:szCs w:val="21"/>
                <w:highlight w:val="none"/>
                <w:lang w:eastAsia="zh-CN"/>
              </w:rPr>
              <w:t>，因此</w:t>
            </w:r>
            <w:r>
              <w:rPr>
                <w:rFonts w:hint="default" w:ascii="Times New Roman" w:hAnsi="Times New Roman" w:cs="Times New Roman"/>
                <w:sz w:val="21"/>
                <w:szCs w:val="21"/>
                <w:highlight w:val="none"/>
              </w:rPr>
              <w:t>类比COD浓度为</w:t>
            </w:r>
            <w:r>
              <w:rPr>
                <w:rFonts w:hint="default" w:ascii="Times New Roman" w:hAnsi="Times New Roman" w:cs="Times New Roman"/>
                <w:sz w:val="21"/>
                <w:szCs w:val="21"/>
                <w:highlight w:val="none"/>
                <w:lang w:val="en-US" w:eastAsia="zh-CN"/>
              </w:rPr>
              <w:t>276</w:t>
            </w:r>
            <w:r>
              <w:rPr>
                <w:rFonts w:hint="default" w:ascii="Times New Roman" w:hAnsi="Times New Roman" w:cs="Times New Roman"/>
                <w:sz w:val="21"/>
                <w:szCs w:val="21"/>
                <w:highlight w:val="none"/>
              </w:rPr>
              <w:t>mg/L，氨氮浓度为</w:t>
            </w:r>
            <w:r>
              <w:rPr>
                <w:rFonts w:hint="default" w:ascii="Times New Roman" w:hAnsi="Times New Roman" w:cs="Times New Roman"/>
                <w:sz w:val="21"/>
                <w:szCs w:val="21"/>
                <w:highlight w:val="none"/>
                <w:lang w:val="en-US" w:eastAsia="zh-CN"/>
              </w:rPr>
              <w:t>1.36</w:t>
            </w:r>
            <w:r>
              <w:rPr>
                <w:rFonts w:hint="default" w:ascii="Times New Roman" w:hAnsi="Times New Roman" w:cs="Times New Roman"/>
                <w:sz w:val="21"/>
                <w:szCs w:val="21"/>
                <w:highlight w:val="none"/>
              </w:rPr>
              <w:t>mg/L，SS浓度为</w:t>
            </w:r>
            <w:r>
              <w:rPr>
                <w:rFonts w:hint="default" w:ascii="Times New Roman" w:hAnsi="Times New Roman" w:cs="Times New Roman"/>
                <w:sz w:val="21"/>
                <w:szCs w:val="21"/>
                <w:highlight w:val="none"/>
                <w:lang w:val="en-US" w:eastAsia="zh-CN"/>
              </w:rPr>
              <w:t>239</w:t>
            </w:r>
            <w:r>
              <w:rPr>
                <w:rFonts w:hint="default" w:ascii="Times New Roman" w:hAnsi="Times New Roman" w:cs="Times New Roman"/>
                <w:sz w:val="21"/>
                <w:szCs w:val="21"/>
                <w:highlight w:val="none"/>
              </w:rPr>
              <w:t>mg/L，BOD</w:t>
            </w:r>
            <w:r>
              <w:rPr>
                <w:rFonts w:hint="default" w:ascii="Times New Roman" w:hAnsi="Times New Roman" w:cs="Times New Roman"/>
                <w:sz w:val="21"/>
                <w:szCs w:val="21"/>
                <w:highlight w:val="none"/>
                <w:vertAlign w:val="subscript"/>
              </w:rPr>
              <w:t>5</w:t>
            </w:r>
            <w:r>
              <w:rPr>
                <w:rFonts w:hint="default" w:ascii="Times New Roman" w:hAnsi="Times New Roman" w:cs="Times New Roman"/>
                <w:sz w:val="21"/>
                <w:szCs w:val="21"/>
                <w:highlight w:val="none"/>
              </w:rPr>
              <w:t>浓度为</w:t>
            </w:r>
            <w:r>
              <w:rPr>
                <w:rFonts w:hint="default" w:ascii="Times New Roman" w:hAnsi="Times New Roman" w:cs="Times New Roman"/>
                <w:sz w:val="21"/>
                <w:szCs w:val="21"/>
                <w:highlight w:val="none"/>
                <w:lang w:val="en-US" w:eastAsia="zh-CN"/>
              </w:rPr>
              <w:t>90.1</w:t>
            </w:r>
            <w:r>
              <w:rPr>
                <w:rFonts w:hint="default" w:ascii="Times New Roman" w:hAnsi="Times New Roman" w:cs="Times New Roman"/>
                <w:sz w:val="21"/>
                <w:szCs w:val="21"/>
                <w:highlight w:val="none"/>
              </w:rPr>
              <w:t>mg/L</w:t>
            </w:r>
            <w:r>
              <w:rPr>
                <w:rFonts w:hint="default" w:ascii="Times New Roman" w:hAnsi="Times New Roman" w:cs="Times New Roman"/>
                <w:kern w:val="0"/>
                <w:sz w:val="21"/>
                <w:szCs w:val="21"/>
                <w:highlight w:val="none"/>
              </w:rPr>
              <w:t>。</w:t>
            </w:r>
          </w:p>
          <w:p w14:paraId="1EDA6B9D">
            <w:pPr>
              <w:spacing w:line="360" w:lineRule="auto"/>
              <w:ind w:firstLine="420" w:firstLineChars="200"/>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3）锅炉排污水及软化处理废水</w:t>
            </w:r>
          </w:p>
          <w:p w14:paraId="7AE5EB86">
            <w:pPr>
              <w:widowControl/>
              <w:spacing w:line="360" w:lineRule="auto"/>
              <w:ind w:firstLine="420" w:firstLineChars="200"/>
              <w:contextualSpacing/>
              <w:rPr>
                <w:rFonts w:hint="default" w:ascii="Times New Roman" w:hAnsi="Times New Roman" w:eastAsia="宋体" w:cs="Times New Roman"/>
                <w:bCs/>
                <w:sz w:val="21"/>
                <w:szCs w:val="21"/>
                <w:highlight w:val="none"/>
                <w:lang w:eastAsia="zh-CN"/>
              </w:rPr>
            </w:pPr>
            <w:r>
              <w:rPr>
                <w:rFonts w:hint="default" w:ascii="Times New Roman" w:hAnsi="Times New Roman" w:cs="Times New Roman"/>
                <w:bCs/>
                <w:sz w:val="21"/>
                <w:szCs w:val="21"/>
                <w:highlight w:val="none"/>
              </w:rPr>
              <w:t>根据</w:t>
            </w:r>
            <w:r>
              <w:rPr>
                <w:rFonts w:hint="default" w:ascii="Times New Roman" w:hAnsi="Times New Roman" w:cs="Times New Roman"/>
                <w:sz w:val="21"/>
                <w:szCs w:val="21"/>
                <w:highlight w:val="none"/>
              </w:rPr>
              <w:t>《排放源统计调查产排污核算方法和系数手册》中4430锅炉产排污量核算系数手册中</w:t>
            </w:r>
            <w:r>
              <w:rPr>
                <w:rFonts w:hint="default" w:ascii="Times New Roman" w:hAnsi="Times New Roman" w:cs="Times New Roman"/>
                <w:bCs/>
                <w:sz w:val="21"/>
                <w:szCs w:val="21"/>
                <w:highlight w:val="none"/>
              </w:rPr>
              <w:t>产排污系数，生物质蒸汽锅炉炉外水处理软化处理废水及锅炉排污水产污系数为0.356吨/吨-原料，</w:t>
            </w:r>
            <w:r>
              <w:rPr>
                <w:rFonts w:hint="default" w:ascii="Times New Roman" w:hAnsi="Times New Roman" w:cs="Times New Roman"/>
                <w:bCs/>
                <w:sz w:val="21"/>
                <w:szCs w:val="21"/>
                <w:highlight w:val="none"/>
                <w:lang w:val="en-US" w:eastAsia="zh-CN"/>
              </w:rPr>
              <w:t>COD</w:t>
            </w:r>
            <w:r>
              <w:rPr>
                <w:rFonts w:hint="default" w:ascii="Times New Roman" w:hAnsi="Times New Roman" w:cs="Times New Roman"/>
                <w:bCs/>
                <w:sz w:val="21"/>
                <w:szCs w:val="21"/>
                <w:highlight w:val="none"/>
                <w:lang w:eastAsia="zh-CN"/>
              </w:rPr>
              <w:t>产污系数为</w:t>
            </w:r>
            <w:r>
              <w:rPr>
                <w:rFonts w:hint="default" w:ascii="Times New Roman" w:hAnsi="Times New Roman" w:cs="Times New Roman"/>
                <w:bCs/>
                <w:sz w:val="21"/>
                <w:szCs w:val="21"/>
                <w:highlight w:val="none"/>
                <w:lang w:val="en-US" w:eastAsia="zh-CN"/>
              </w:rPr>
              <w:t>30</w:t>
            </w:r>
            <w:r>
              <w:rPr>
                <w:rFonts w:hint="default" w:ascii="Times New Roman" w:hAnsi="Times New Roman" w:cs="Times New Roman"/>
                <w:bCs/>
                <w:sz w:val="21"/>
                <w:szCs w:val="21"/>
                <w:highlight w:val="none"/>
                <w:lang w:eastAsia="zh-CN"/>
              </w:rPr>
              <w:t>克/吨-原料，</w:t>
            </w:r>
            <w:r>
              <w:rPr>
                <w:rFonts w:hint="default" w:ascii="Times New Roman" w:hAnsi="Times New Roman" w:cs="Times New Roman"/>
                <w:bCs/>
                <w:sz w:val="21"/>
                <w:szCs w:val="21"/>
                <w:highlight w:val="none"/>
              </w:rPr>
              <w:t>本项目生物质蒸汽锅炉年烧生物质成型燃料量为</w:t>
            </w:r>
            <w:r>
              <w:rPr>
                <w:rFonts w:hint="default" w:ascii="Times New Roman" w:hAnsi="Times New Roman" w:cs="Times New Roman"/>
                <w:smallCaps w:val="0"/>
                <w:spacing w:val="2"/>
                <w:kern w:val="0"/>
                <w:sz w:val="21"/>
                <w:szCs w:val="21"/>
                <w:highlight w:val="none"/>
                <w:lang w:val="en-US" w:eastAsia="zh-CN" w:bidi="ar-SA"/>
              </w:rPr>
              <w:t>306.44</w:t>
            </w:r>
            <w:r>
              <w:rPr>
                <w:rFonts w:hint="default" w:ascii="Times New Roman" w:hAnsi="Times New Roman" w:eastAsia="宋体" w:cs="Times New Roman"/>
                <w:smallCaps w:val="0"/>
                <w:spacing w:val="2"/>
                <w:kern w:val="0"/>
                <w:sz w:val="21"/>
                <w:szCs w:val="21"/>
                <w:highlight w:val="none"/>
                <w:lang w:val="en-US" w:eastAsia="zh-CN" w:bidi="ar-SA"/>
              </w:rPr>
              <w:t>t</w:t>
            </w:r>
            <w:r>
              <w:rPr>
                <w:rFonts w:hint="default" w:ascii="Times New Roman" w:hAnsi="Times New Roman" w:eastAsia="宋体" w:cs="Times New Roman"/>
                <w:smallCaps w:val="0"/>
                <w:spacing w:val="1"/>
                <w:kern w:val="0"/>
                <w:sz w:val="21"/>
                <w:szCs w:val="21"/>
                <w:highlight w:val="none"/>
                <w:lang w:val="en-US" w:eastAsia="zh-CN" w:bidi="ar-SA"/>
              </w:rPr>
              <w:t>/a</w:t>
            </w:r>
            <w:r>
              <w:rPr>
                <w:rFonts w:hint="default" w:ascii="Times New Roman" w:hAnsi="Times New Roman" w:cs="Times New Roman"/>
                <w:bCs/>
                <w:sz w:val="21"/>
                <w:szCs w:val="21"/>
                <w:highlight w:val="none"/>
              </w:rPr>
              <w:t>，废</w:t>
            </w:r>
            <w:r>
              <w:rPr>
                <w:rFonts w:hint="default" w:ascii="Times New Roman" w:hAnsi="Times New Roman" w:cs="Times New Roman"/>
                <w:sz w:val="21"/>
                <w:szCs w:val="21"/>
                <w:highlight w:val="none"/>
              </w:rPr>
              <w:t>水排放量约为</w:t>
            </w:r>
            <w:r>
              <w:rPr>
                <w:rFonts w:hint="default" w:ascii="Times New Roman" w:hAnsi="Times New Roman" w:eastAsia="宋体" w:cs="Times New Roman"/>
                <w:smallCaps w:val="0"/>
                <w:spacing w:val="2"/>
                <w:kern w:val="0"/>
                <w:sz w:val="21"/>
                <w:szCs w:val="21"/>
                <w:highlight w:val="none"/>
                <w:lang w:val="en-US" w:eastAsia="zh-CN" w:bidi="ar-SA"/>
              </w:rPr>
              <w:t>2.22t/d，89.13t/a</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eastAsia="zh-CN"/>
              </w:rPr>
              <w:t>则</w:t>
            </w:r>
            <w:r>
              <w:rPr>
                <w:rFonts w:hint="default" w:ascii="Times New Roman" w:hAnsi="Times New Roman" w:cs="Times New Roman"/>
                <w:bCs/>
                <w:sz w:val="21"/>
                <w:szCs w:val="21"/>
                <w:highlight w:val="none"/>
                <w:lang w:val="en-US" w:eastAsia="zh-CN"/>
              </w:rPr>
              <w:t>COD产生量为0</w:t>
            </w:r>
            <w:r>
              <w:rPr>
                <w:rFonts w:hint="default" w:ascii="Times New Roman" w:hAnsi="Times New Roman" w:eastAsia="宋体" w:cs="Times New Roman"/>
                <w:bCs/>
                <w:sz w:val="21"/>
                <w:szCs w:val="21"/>
                <w:highlight w:val="none"/>
                <w:lang w:val="en-US" w:eastAsia="zh-CN"/>
              </w:rPr>
              <w:t>.0075</w:t>
            </w:r>
            <w:r>
              <w:rPr>
                <w:rFonts w:hint="default" w:ascii="Times New Roman" w:hAnsi="Times New Roman" w:eastAsia="宋体" w:cs="Times New Roman"/>
                <w:bCs/>
                <w:sz w:val="21"/>
                <w:szCs w:val="21"/>
                <w:highlight w:val="none"/>
                <w:lang w:eastAsia="zh-CN"/>
              </w:rPr>
              <w:t>t/a。</w:t>
            </w:r>
          </w:p>
          <w:p w14:paraId="4C50B304">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表4-7  废水源强核算表</w:t>
            </w:r>
          </w:p>
          <w:tbl>
            <w:tblPr>
              <w:tblStyle w:val="13"/>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619"/>
              <w:gridCol w:w="579"/>
              <w:gridCol w:w="459"/>
              <w:gridCol w:w="550"/>
              <w:gridCol w:w="664"/>
              <w:gridCol w:w="700"/>
              <w:gridCol w:w="1191"/>
              <w:gridCol w:w="405"/>
              <w:gridCol w:w="394"/>
              <w:gridCol w:w="574"/>
              <w:gridCol w:w="653"/>
              <w:gridCol w:w="714"/>
            </w:tblGrid>
            <w:tr w14:paraId="553DA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dxa"/>
                  <w:vMerge w:val="restart"/>
                  <w:tcBorders>
                    <w:top w:val="single" w:color="auto" w:sz="8" w:space="0"/>
                    <w:left w:val="nil"/>
                    <w:bottom w:val="single" w:color="auto" w:sz="4" w:space="0"/>
                    <w:right w:val="single" w:color="auto" w:sz="4" w:space="0"/>
                  </w:tcBorders>
                  <w:noWrap w:val="0"/>
                  <w:vAlign w:val="center"/>
                </w:tcPr>
                <w:p w14:paraId="3DD11EB4">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工序/生产线</w:t>
                  </w:r>
                </w:p>
              </w:tc>
              <w:tc>
                <w:tcPr>
                  <w:tcW w:w="619" w:type="dxa"/>
                  <w:vMerge w:val="restart"/>
                  <w:tcBorders>
                    <w:top w:val="single" w:color="auto" w:sz="8" w:space="0"/>
                    <w:left w:val="single" w:color="auto" w:sz="4" w:space="0"/>
                    <w:bottom w:val="single" w:color="auto" w:sz="4" w:space="0"/>
                    <w:right w:val="single" w:color="auto" w:sz="4" w:space="0"/>
                  </w:tcBorders>
                  <w:noWrap w:val="0"/>
                  <w:vAlign w:val="center"/>
                </w:tcPr>
                <w:p w14:paraId="0B62C3A4">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污染源</w:t>
                  </w:r>
                </w:p>
              </w:tc>
              <w:tc>
                <w:tcPr>
                  <w:tcW w:w="579" w:type="dxa"/>
                  <w:vMerge w:val="restart"/>
                  <w:tcBorders>
                    <w:top w:val="single" w:color="auto" w:sz="8" w:space="0"/>
                    <w:left w:val="single" w:color="auto" w:sz="4" w:space="0"/>
                    <w:bottom w:val="single" w:color="auto" w:sz="4" w:space="0"/>
                    <w:right w:val="single" w:color="auto" w:sz="4" w:space="0"/>
                  </w:tcBorders>
                  <w:noWrap w:val="0"/>
                  <w:vAlign w:val="center"/>
                </w:tcPr>
                <w:p w14:paraId="53B9ED6D">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污染物</w:t>
                  </w:r>
                </w:p>
              </w:tc>
              <w:tc>
                <w:tcPr>
                  <w:tcW w:w="2373" w:type="dxa"/>
                  <w:gridSpan w:val="4"/>
                  <w:tcBorders>
                    <w:top w:val="single" w:color="auto" w:sz="8" w:space="0"/>
                    <w:left w:val="single" w:color="auto" w:sz="4" w:space="0"/>
                    <w:bottom w:val="single" w:color="auto" w:sz="4" w:space="0"/>
                    <w:right w:val="single" w:color="auto" w:sz="4" w:space="0"/>
                  </w:tcBorders>
                  <w:noWrap w:val="0"/>
                  <w:vAlign w:val="center"/>
                </w:tcPr>
                <w:p w14:paraId="1B3F4384">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污染物产生</w:t>
                  </w:r>
                </w:p>
              </w:tc>
              <w:tc>
                <w:tcPr>
                  <w:tcW w:w="1596" w:type="dxa"/>
                  <w:gridSpan w:val="2"/>
                  <w:tcBorders>
                    <w:top w:val="single" w:color="auto" w:sz="8" w:space="0"/>
                    <w:left w:val="single" w:color="auto" w:sz="4" w:space="0"/>
                    <w:bottom w:val="single" w:color="auto" w:sz="4" w:space="0"/>
                    <w:right w:val="single" w:color="auto" w:sz="4" w:space="0"/>
                  </w:tcBorders>
                  <w:noWrap w:val="0"/>
                  <w:vAlign w:val="center"/>
                </w:tcPr>
                <w:p w14:paraId="0A53E1EA">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治理措施</w:t>
                  </w:r>
                </w:p>
              </w:tc>
              <w:tc>
                <w:tcPr>
                  <w:tcW w:w="2335" w:type="dxa"/>
                  <w:gridSpan w:val="4"/>
                  <w:tcBorders>
                    <w:top w:val="single" w:color="auto" w:sz="8" w:space="0"/>
                    <w:left w:val="single" w:color="auto" w:sz="4" w:space="0"/>
                    <w:bottom w:val="single" w:color="auto" w:sz="4" w:space="0"/>
                    <w:right w:val="nil"/>
                  </w:tcBorders>
                  <w:noWrap w:val="0"/>
                  <w:vAlign w:val="center"/>
                </w:tcPr>
                <w:p w14:paraId="285D1054">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污染物排放</w:t>
                  </w:r>
                </w:p>
              </w:tc>
            </w:tr>
            <w:tr w14:paraId="6FF1D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dxa"/>
                  <w:vMerge w:val="continue"/>
                  <w:tcBorders>
                    <w:top w:val="single" w:color="auto" w:sz="4" w:space="0"/>
                    <w:left w:val="nil"/>
                    <w:bottom w:val="single" w:color="auto" w:sz="4" w:space="0"/>
                    <w:right w:val="single" w:color="auto" w:sz="4" w:space="0"/>
                  </w:tcBorders>
                  <w:noWrap w:val="0"/>
                  <w:vAlign w:val="center"/>
                </w:tcPr>
                <w:p w14:paraId="346A7A16">
                  <w:pPr>
                    <w:autoSpaceDE w:val="0"/>
                    <w:autoSpaceDN w:val="0"/>
                    <w:jc w:val="center"/>
                    <w:rPr>
                      <w:rFonts w:hint="default" w:ascii="Times New Roman" w:hAnsi="Times New Roman" w:cs="Times New Roman"/>
                      <w:sz w:val="18"/>
                      <w:szCs w:val="18"/>
                      <w:highlight w:val="none"/>
                    </w:rPr>
                  </w:pPr>
                </w:p>
              </w:tc>
              <w:tc>
                <w:tcPr>
                  <w:tcW w:w="619" w:type="dxa"/>
                  <w:vMerge w:val="continue"/>
                  <w:tcBorders>
                    <w:top w:val="single" w:color="auto" w:sz="4" w:space="0"/>
                    <w:left w:val="single" w:color="auto" w:sz="4" w:space="0"/>
                    <w:bottom w:val="single" w:color="auto" w:sz="4" w:space="0"/>
                    <w:right w:val="single" w:color="auto" w:sz="4" w:space="0"/>
                  </w:tcBorders>
                  <w:noWrap w:val="0"/>
                  <w:vAlign w:val="center"/>
                </w:tcPr>
                <w:p w14:paraId="3B7ECDE9">
                  <w:pPr>
                    <w:autoSpaceDE w:val="0"/>
                    <w:autoSpaceDN w:val="0"/>
                    <w:jc w:val="center"/>
                    <w:rPr>
                      <w:rFonts w:hint="default" w:ascii="Times New Roman" w:hAnsi="Times New Roman" w:cs="Times New Roman"/>
                      <w:sz w:val="18"/>
                      <w:szCs w:val="18"/>
                      <w:highlight w:val="none"/>
                    </w:rPr>
                  </w:pPr>
                </w:p>
              </w:tc>
              <w:tc>
                <w:tcPr>
                  <w:tcW w:w="579" w:type="dxa"/>
                  <w:vMerge w:val="continue"/>
                  <w:tcBorders>
                    <w:top w:val="single" w:color="auto" w:sz="4" w:space="0"/>
                    <w:left w:val="single" w:color="auto" w:sz="4" w:space="0"/>
                    <w:bottom w:val="single" w:color="auto" w:sz="4" w:space="0"/>
                    <w:right w:val="single" w:color="auto" w:sz="4" w:space="0"/>
                  </w:tcBorders>
                  <w:noWrap w:val="0"/>
                  <w:vAlign w:val="center"/>
                </w:tcPr>
                <w:p w14:paraId="78455D71">
                  <w:pPr>
                    <w:autoSpaceDE w:val="0"/>
                    <w:autoSpaceDN w:val="0"/>
                    <w:jc w:val="center"/>
                    <w:rPr>
                      <w:rFonts w:hint="default" w:ascii="Times New Roman" w:hAnsi="Times New Roman" w:cs="Times New Roman"/>
                      <w:sz w:val="18"/>
                      <w:szCs w:val="18"/>
                      <w:highlight w:val="none"/>
                    </w:rPr>
                  </w:pPr>
                </w:p>
              </w:tc>
              <w:tc>
                <w:tcPr>
                  <w:tcW w:w="459" w:type="dxa"/>
                  <w:tcBorders>
                    <w:top w:val="single" w:color="auto" w:sz="4" w:space="0"/>
                    <w:left w:val="single" w:color="auto" w:sz="4" w:space="0"/>
                    <w:bottom w:val="single" w:color="auto" w:sz="4" w:space="0"/>
                    <w:right w:val="single" w:color="auto" w:sz="4" w:space="0"/>
                  </w:tcBorders>
                  <w:noWrap w:val="0"/>
                  <w:vAlign w:val="center"/>
                </w:tcPr>
                <w:p w14:paraId="777DE10C">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核算方法</w:t>
                  </w:r>
                </w:p>
              </w:tc>
              <w:tc>
                <w:tcPr>
                  <w:tcW w:w="550" w:type="dxa"/>
                  <w:tcBorders>
                    <w:top w:val="single" w:color="auto" w:sz="4" w:space="0"/>
                    <w:left w:val="single" w:color="auto" w:sz="4" w:space="0"/>
                    <w:bottom w:val="single" w:color="auto" w:sz="4" w:space="0"/>
                    <w:right w:val="single" w:color="auto" w:sz="4" w:space="0"/>
                  </w:tcBorders>
                  <w:noWrap w:val="0"/>
                  <w:vAlign w:val="center"/>
                </w:tcPr>
                <w:p w14:paraId="58208C4A">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废水产生量t/a</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1B08D7BE">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产生浓度mg/L</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5900DFB">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产生量</w:t>
                  </w:r>
                </w:p>
                <w:p w14:paraId="4B61406C">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t/a</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07634D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工艺</w:t>
                  </w:r>
                </w:p>
              </w:tc>
              <w:tc>
                <w:tcPr>
                  <w:tcW w:w="405" w:type="dxa"/>
                  <w:tcBorders>
                    <w:top w:val="single" w:color="auto" w:sz="4" w:space="0"/>
                    <w:left w:val="single" w:color="auto" w:sz="4" w:space="0"/>
                    <w:bottom w:val="single" w:color="auto" w:sz="4" w:space="0"/>
                    <w:right w:val="single" w:color="auto" w:sz="4" w:space="0"/>
                  </w:tcBorders>
                  <w:noWrap w:val="0"/>
                  <w:vAlign w:val="center"/>
                </w:tcPr>
                <w:p w14:paraId="199B8DF4">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效率</w:t>
                  </w:r>
                </w:p>
              </w:tc>
              <w:tc>
                <w:tcPr>
                  <w:tcW w:w="394" w:type="dxa"/>
                  <w:tcBorders>
                    <w:top w:val="single" w:color="auto" w:sz="4" w:space="0"/>
                    <w:left w:val="single" w:color="auto" w:sz="4" w:space="0"/>
                    <w:bottom w:val="single" w:color="auto" w:sz="4" w:space="0"/>
                    <w:right w:val="single" w:color="auto" w:sz="4" w:space="0"/>
                  </w:tcBorders>
                  <w:noWrap w:val="0"/>
                  <w:vAlign w:val="center"/>
                </w:tcPr>
                <w:p w14:paraId="49D0E1E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核算方法</w:t>
                  </w:r>
                </w:p>
              </w:tc>
              <w:tc>
                <w:tcPr>
                  <w:tcW w:w="574" w:type="dxa"/>
                  <w:tcBorders>
                    <w:top w:val="single" w:color="auto" w:sz="4" w:space="0"/>
                    <w:left w:val="single" w:color="auto" w:sz="4" w:space="0"/>
                    <w:bottom w:val="single" w:color="auto" w:sz="4" w:space="0"/>
                    <w:right w:val="single" w:color="auto" w:sz="4" w:space="0"/>
                  </w:tcBorders>
                  <w:noWrap w:val="0"/>
                  <w:vAlign w:val="center"/>
                </w:tcPr>
                <w:p w14:paraId="36B9D565">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废水排放量t/a</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7F94F7C5">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排放浓度mg/m</w:t>
                  </w:r>
                  <w:r>
                    <w:rPr>
                      <w:rFonts w:hint="default" w:ascii="Times New Roman" w:hAnsi="Times New Roman" w:eastAsia="宋体" w:cs="Times New Roman"/>
                      <w:sz w:val="18"/>
                      <w:szCs w:val="18"/>
                      <w:highlight w:val="none"/>
                      <w:vertAlign w:val="superscript"/>
                    </w:rPr>
                    <w:t>3</w:t>
                  </w:r>
                </w:p>
              </w:tc>
              <w:tc>
                <w:tcPr>
                  <w:tcW w:w="714" w:type="dxa"/>
                  <w:tcBorders>
                    <w:top w:val="single" w:color="auto" w:sz="4" w:space="0"/>
                    <w:left w:val="single" w:color="auto" w:sz="4" w:space="0"/>
                    <w:bottom w:val="single" w:color="auto" w:sz="4" w:space="0"/>
                    <w:right w:val="nil"/>
                  </w:tcBorders>
                  <w:noWrap w:val="0"/>
                  <w:vAlign w:val="center"/>
                </w:tcPr>
                <w:p w14:paraId="33087AB8">
                  <w:pPr>
                    <w:pStyle w:val="28"/>
                    <w:spacing w:line="240" w:lineRule="auto"/>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排放量</w:t>
                  </w:r>
                </w:p>
                <w:p w14:paraId="61DB9D92">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t/a</w:t>
                  </w:r>
                </w:p>
              </w:tc>
            </w:tr>
            <w:tr w14:paraId="0079E2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00" w:type="dxa"/>
                  <w:vMerge w:val="restart"/>
                  <w:tcBorders>
                    <w:top w:val="single" w:color="auto" w:sz="4" w:space="0"/>
                    <w:left w:val="nil"/>
                    <w:right w:val="single" w:color="auto" w:sz="4" w:space="0"/>
                  </w:tcBorders>
                  <w:noWrap w:val="0"/>
                  <w:vAlign w:val="center"/>
                </w:tcPr>
                <w:p w14:paraId="4402D8CE">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员工生活</w:t>
                  </w:r>
                </w:p>
              </w:tc>
              <w:tc>
                <w:tcPr>
                  <w:tcW w:w="619" w:type="dxa"/>
                  <w:vMerge w:val="restart"/>
                  <w:tcBorders>
                    <w:top w:val="single" w:color="auto" w:sz="4" w:space="0"/>
                    <w:left w:val="single" w:color="auto" w:sz="4" w:space="0"/>
                    <w:right w:val="single" w:color="auto" w:sz="4" w:space="0"/>
                  </w:tcBorders>
                  <w:noWrap w:val="0"/>
                  <w:vAlign w:val="center"/>
                </w:tcPr>
                <w:p w14:paraId="70E98DD6">
                  <w:pPr>
                    <w:widowControl/>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生活污水</w:t>
                  </w:r>
                </w:p>
              </w:tc>
              <w:tc>
                <w:tcPr>
                  <w:tcW w:w="579" w:type="dxa"/>
                  <w:tcBorders>
                    <w:top w:val="single" w:color="auto" w:sz="4" w:space="0"/>
                    <w:left w:val="single" w:color="auto" w:sz="4" w:space="0"/>
                    <w:bottom w:val="single" w:color="auto" w:sz="4" w:space="0"/>
                    <w:right w:val="single" w:color="auto" w:sz="4" w:space="0"/>
                  </w:tcBorders>
                  <w:noWrap w:val="0"/>
                  <w:vAlign w:val="center"/>
                </w:tcPr>
                <w:p w14:paraId="7FBFA8E7">
                  <w:pPr>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COD</w:t>
                  </w:r>
                </w:p>
              </w:tc>
              <w:tc>
                <w:tcPr>
                  <w:tcW w:w="459" w:type="dxa"/>
                  <w:vMerge w:val="restart"/>
                  <w:tcBorders>
                    <w:top w:val="single" w:color="auto" w:sz="4" w:space="0"/>
                    <w:left w:val="single" w:color="auto" w:sz="4" w:space="0"/>
                    <w:right w:val="single" w:color="auto" w:sz="4" w:space="0"/>
                  </w:tcBorders>
                  <w:noWrap w:val="0"/>
                  <w:vAlign w:val="center"/>
                </w:tcPr>
                <w:p w14:paraId="296B299E">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类比法</w:t>
                  </w:r>
                </w:p>
              </w:tc>
              <w:tc>
                <w:tcPr>
                  <w:tcW w:w="550" w:type="dxa"/>
                  <w:vMerge w:val="restart"/>
                  <w:tcBorders>
                    <w:top w:val="single" w:color="auto" w:sz="4" w:space="0"/>
                    <w:left w:val="single" w:color="auto" w:sz="4" w:space="0"/>
                    <w:right w:val="single" w:color="auto" w:sz="4" w:space="0"/>
                  </w:tcBorders>
                  <w:noWrap w:val="0"/>
                  <w:vAlign w:val="center"/>
                </w:tcPr>
                <w:p w14:paraId="41AEC5C0">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128</w:t>
                  </w:r>
                </w:p>
              </w:tc>
              <w:tc>
                <w:tcPr>
                  <w:tcW w:w="664" w:type="dxa"/>
                  <w:tcBorders>
                    <w:top w:val="single" w:color="auto" w:sz="4" w:space="0"/>
                    <w:left w:val="single" w:color="auto" w:sz="4" w:space="0"/>
                    <w:bottom w:val="single" w:color="auto" w:sz="4" w:space="0"/>
                    <w:right w:val="single" w:color="auto" w:sz="4" w:space="0"/>
                  </w:tcBorders>
                  <w:noWrap w:val="0"/>
                  <w:vAlign w:val="center"/>
                </w:tcPr>
                <w:p w14:paraId="6647E1F4">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kern w:val="0"/>
                      <w:sz w:val="18"/>
                      <w:szCs w:val="18"/>
                      <w:highlight w:val="none"/>
                      <w:lang w:bidi="ar"/>
                    </w:rPr>
                    <w:t>320</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618E63B">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0.041</w:t>
                  </w:r>
                </w:p>
              </w:tc>
              <w:tc>
                <w:tcPr>
                  <w:tcW w:w="1191" w:type="dxa"/>
                  <w:vMerge w:val="restart"/>
                  <w:tcBorders>
                    <w:top w:val="single" w:color="auto" w:sz="4" w:space="0"/>
                    <w:left w:val="single" w:color="auto" w:sz="4" w:space="0"/>
                    <w:right w:val="single" w:color="auto" w:sz="4" w:space="0"/>
                  </w:tcBorders>
                  <w:noWrap w:val="0"/>
                  <w:vAlign w:val="center"/>
                </w:tcPr>
                <w:p w14:paraId="3C779AC7">
                  <w:pPr>
                    <w:pStyle w:val="28"/>
                    <w:spacing w:line="240" w:lineRule="auto"/>
                    <w:jc w:val="both"/>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kern w:val="0"/>
                      <w:sz w:val="18"/>
                      <w:szCs w:val="18"/>
                      <w:highlight w:val="none"/>
                    </w:rPr>
                    <w:t>排入防渗旱厕，定期清掏，</w:t>
                  </w:r>
                  <w:r>
                    <w:rPr>
                      <w:rFonts w:hint="default" w:ascii="Times New Roman" w:hAnsi="Times New Roman" w:eastAsia="宋体" w:cs="Times New Roman"/>
                      <w:kern w:val="0"/>
                      <w:sz w:val="18"/>
                      <w:szCs w:val="18"/>
                      <w:highlight w:val="none"/>
                      <w:lang w:eastAsia="zh-CN"/>
                    </w:rPr>
                    <w:t>外运堆肥</w:t>
                  </w:r>
                </w:p>
              </w:tc>
              <w:tc>
                <w:tcPr>
                  <w:tcW w:w="405" w:type="dxa"/>
                  <w:vMerge w:val="restart"/>
                  <w:tcBorders>
                    <w:top w:val="single" w:color="auto" w:sz="4" w:space="0"/>
                    <w:left w:val="single" w:color="auto" w:sz="4" w:space="0"/>
                    <w:right w:val="single" w:color="auto" w:sz="4" w:space="0"/>
                  </w:tcBorders>
                  <w:noWrap w:val="0"/>
                  <w:vAlign w:val="center"/>
                </w:tcPr>
                <w:p w14:paraId="1F257207">
                  <w:pPr>
                    <w:pStyle w:val="29"/>
                    <w:adjustRightInd/>
                    <w:snapToGrid/>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394" w:type="dxa"/>
                  <w:vMerge w:val="restart"/>
                  <w:tcBorders>
                    <w:top w:val="single" w:color="auto" w:sz="4" w:space="0"/>
                    <w:left w:val="single" w:color="auto" w:sz="4" w:space="0"/>
                    <w:right w:val="single" w:color="auto" w:sz="4" w:space="0"/>
                  </w:tcBorders>
                  <w:noWrap w:val="0"/>
                  <w:vAlign w:val="center"/>
                </w:tcPr>
                <w:p w14:paraId="542011BB">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物料衡算法</w:t>
                  </w:r>
                </w:p>
              </w:tc>
              <w:tc>
                <w:tcPr>
                  <w:tcW w:w="574" w:type="dxa"/>
                  <w:vMerge w:val="restart"/>
                  <w:tcBorders>
                    <w:top w:val="single" w:color="auto" w:sz="4" w:space="0"/>
                    <w:left w:val="single" w:color="auto" w:sz="4" w:space="0"/>
                    <w:right w:val="single" w:color="auto" w:sz="4" w:space="0"/>
                  </w:tcBorders>
                  <w:noWrap w:val="0"/>
                  <w:vAlign w:val="center"/>
                </w:tcPr>
                <w:p w14:paraId="440B7C33">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c>
                <w:tcPr>
                  <w:tcW w:w="653" w:type="dxa"/>
                  <w:tcBorders>
                    <w:top w:val="single" w:color="auto" w:sz="4" w:space="0"/>
                    <w:left w:val="single" w:color="auto" w:sz="4" w:space="0"/>
                    <w:bottom w:val="single" w:color="auto" w:sz="4" w:space="0"/>
                    <w:right w:val="single" w:color="auto" w:sz="4" w:space="0"/>
                  </w:tcBorders>
                  <w:noWrap w:val="0"/>
                  <w:vAlign w:val="center"/>
                </w:tcPr>
                <w:p w14:paraId="5B929A17">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sz w:val="18"/>
                      <w:szCs w:val="18"/>
                      <w:highlight w:val="none"/>
                      <w:lang w:val="en-US" w:eastAsia="zh-CN"/>
                    </w:rPr>
                    <w:t>/</w:t>
                  </w:r>
                </w:p>
              </w:tc>
              <w:tc>
                <w:tcPr>
                  <w:tcW w:w="714" w:type="dxa"/>
                  <w:tcBorders>
                    <w:top w:val="single" w:color="auto" w:sz="4" w:space="0"/>
                    <w:left w:val="single" w:color="auto" w:sz="4" w:space="0"/>
                    <w:bottom w:val="single" w:color="auto" w:sz="4" w:space="0"/>
                    <w:right w:val="nil"/>
                  </w:tcBorders>
                  <w:noWrap w:val="0"/>
                  <w:vAlign w:val="center"/>
                </w:tcPr>
                <w:p w14:paraId="74D259F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14:paraId="26470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00" w:type="dxa"/>
                  <w:vMerge w:val="continue"/>
                  <w:tcBorders>
                    <w:left w:val="nil"/>
                    <w:right w:val="single" w:color="auto" w:sz="4" w:space="0"/>
                  </w:tcBorders>
                  <w:noWrap w:val="0"/>
                  <w:vAlign w:val="center"/>
                </w:tcPr>
                <w:p w14:paraId="3AC67FE2">
                  <w:pPr>
                    <w:autoSpaceDE w:val="0"/>
                    <w:autoSpaceDN w:val="0"/>
                    <w:jc w:val="center"/>
                    <w:rPr>
                      <w:rFonts w:hint="default" w:ascii="Times New Roman" w:hAnsi="Times New Roman" w:cs="Times New Roman"/>
                      <w:sz w:val="18"/>
                      <w:szCs w:val="18"/>
                      <w:highlight w:val="none"/>
                    </w:rPr>
                  </w:pPr>
                </w:p>
              </w:tc>
              <w:tc>
                <w:tcPr>
                  <w:tcW w:w="619" w:type="dxa"/>
                  <w:vMerge w:val="continue"/>
                  <w:tcBorders>
                    <w:left w:val="single" w:color="auto" w:sz="4" w:space="0"/>
                    <w:right w:val="single" w:color="auto" w:sz="4" w:space="0"/>
                  </w:tcBorders>
                  <w:noWrap w:val="0"/>
                  <w:vAlign w:val="center"/>
                </w:tcPr>
                <w:p w14:paraId="36913FE3">
                  <w:pPr>
                    <w:autoSpaceDE w:val="0"/>
                    <w:autoSpaceDN w:val="0"/>
                    <w:jc w:val="center"/>
                    <w:rPr>
                      <w:rFonts w:hint="default" w:ascii="Times New Roman" w:hAnsi="Times New Roman" w:cs="Times New Roman"/>
                      <w:sz w:val="18"/>
                      <w:szCs w:val="18"/>
                      <w:highlight w:val="none"/>
                    </w:rPr>
                  </w:pPr>
                </w:p>
              </w:tc>
              <w:tc>
                <w:tcPr>
                  <w:tcW w:w="579" w:type="dxa"/>
                  <w:tcBorders>
                    <w:top w:val="single" w:color="auto" w:sz="4" w:space="0"/>
                    <w:left w:val="single" w:color="auto" w:sz="4" w:space="0"/>
                    <w:bottom w:val="single" w:color="auto" w:sz="4" w:space="0"/>
                    <w:right w:val="single" w:color="auto" w:sz="4" w:space="0"/>
                  </w:tcBorders>
                  <w:noWrap w:val="0"/>
                  <w:vAlign w:val="center"/>
                </w:tcPr>
                <w:p w14:paraId="01DCF677">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BOD</w:t>
                  </w:r>
                  <w:r>
                    <w:rPr>
                      <w:rFonts w:hint="default" w:ascii="Times New Roman" w:hAnsi="Times New Roman" w:cs="Times New Roman"/>
                      <w:bCs/>
                      <w:kern w:val="0"/>
                      <w:sz w:val="18"/>
                      <w:szCs w:val="18"/>
                      <w:highlight w:val="none"/>
                      <w:vertAlign w:val="subscript"/>
                    </w:rPr>
                    <w:t>5</w:t>
                  </w:r>
                </w:p>
              </w:tc>
              <w:tc>
                <w:tcPr>
                  <w:tcW w:w="459" w:type="dxa"/>
                  <w:vMerge w:val="continue"/>
                  <w:tcBorders>
                    <w:left w:val="single" w:color="auto" w:sz="4" w:space="0"/>
                    <w:right w:val="single" w:color="auto" w:sz="4" w:space="0"/>
                  </w:tcBorders>
                  <w:noWrap w:val="0"/>
                  <w:vAlign w:val="center"/>
                </w:tcPr>
                <w:p w14:paraId="2333D52B">
                  <w:pPr>
                    <w:autoSpaceDE w:val="0"/>
                    <w:autoSpaceDN w:val="0"/>
                    <w:jc w:val="center"/>
                    <w:rPr>
                      <w:rFonts w:hint="default" w:ascii="Times New Roman" w:hAnsi="Times New Roman" w:cs="Times New Roman"/>
                      <w:sz w:val="18"/>
                      <w:szCs w:val="18"/>
                      <w:highlight w:val="none"/>
                    </w:rPr>
                  </w:pPr>
                </w:p>
              </w:tc>
              <w:tc>
                <w:tcPr>
                  <w:tcW w:w="550" w:type="dxa"/>
                  <w:vMerge w:val="continue"/>
                  <w:tcBorders>
                    <w:left w:val="single" w:color="auto" w:sz="4" w:space="0"/>
                    <w:right w:val="single" w:color="auto" w:sz="4" w:space="0"/>
                  </w:tcBorders>
                  <w:noWrap w:val="0"/>
                  <w:vAlign w:val="center"/>
                </w:tcPr>
                <w:p w14:paraId="4184BE38">
                  <w:pPr>
                    <w:autoSpaceDE w:val="0"/>
                    <w:autoSpaceDN w:val="0"/>
                    <w:jc w:val="center"/>
                    <w:rPr>
                      <w:rFonts w:hint="default" w:ascii="Times New Roman" w:hAnsi="Times New Roman" w:cs="Times New Roman"/>
                      <w:sz w:val="18"/>
                      <w:szCs w:val="18"/>
                      <w:highlight w:val="none"/>
                    </w:rPr>
                  </w:pPr>
                </w:p>
              </w:tc>
              <w:tc>
                <w:tcPr>
                  <w:tcW w:w="664" w:type="dxa"/>
                  <w:tcBorders>
                    <w:top w:val="single" w:color="auto" w:sz="4" w:space="0"/>
                    <w:left w:val="single" w:color="auto" w:sz="4" w:space="0"/>
                    <w:bottom w:val="single" w:color="auto" w:sz="4" w:space="0"/>
                    <w:right w:val="single" w:color="auto" w:sz="4" w:space="0"/>
                  </w:tcBorders>
                  <w:noWrap w:val="0"/>
                  <w:vAlign w:val="center"/>
                </w:tcPr>
                <w:p w14:paraId="452D1132">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kern w:val="0"/>
                      <w:sz w:val="18"/>
                      <w:szCs w:val="18"/>
                      <w:highlight w:val="none"/>
                      <w:lang w:bidi="ar"/>
                    </w:rPr>
                    <w:t>200</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2EB3DAC">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0.026</w:t>
                  </w:r>
                </w:p>
              </w:tc>
              <w:tc>
                <w:tcPr>
                  <w:tcW w:w="1191" w:type="dxa"/>
                  <w:vMerge w:val="continue"/>
                  <w:tcBorders>
                    <w:left w:val="single" w:color="auto" w:sz="4" w:space="0"/>
                    <w:right w:val="single" w:color="auto" w:sz="4" w:space="0"/>
                  </w:tcBorders>
                  <w:noWrap w:val="0"/>
                  <w:vAlign w:val="center"/>
                </w:tcPr>
                <w:p w14:paraId="53604E4E">
                  <w:pPr>
                    <w:autoSpaceDE w:val="0"/>
                    <w:autoSpaceDN w:val="0"/>
                    <w:jc w:val="center"/>
                    <w:rPr>
                      <w:rFonts w:hint="default" w:ascii="Times New Roman" w:hAnsi="Times New Roman" w:cs="Times New Roman"/>
                      <w:sz w:val="18"/>
                      <w:szCs w:val="18"/>
                      <w:highlight w:val="none"/>
                    </w:rPr>
                  </w:pPr>
                </w:p>
              </w:tc>
              <w:tc>
                <w:tcPr>
                  <w:tcW w:w="405" w:type="dxa"/>
                  <w:vMerge w:val="continue"/>
                  <w:tcBorders>
                    <w:left w:val="single" w:color="auto" w:sz="4" w:space="0"/>
                    <w:right w:val="single" w:color="auto" w:sz="4" w:space="0"/>
                  </w:tcBorders>
                  <w:noWrap w:val="0"/>
                  <w:vAlign w:val="center"/>
                </w:tcPr>
                <w:p w14:paraId="2626A9B7">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left w:val="single" w:color="auto" w:sz="4" w:space="0"/>
                    <w:right w:val="single" w:color="auto" w:sz="4" w:space="0"/>
                  </w:tcBorders>
                  <w:noWrap w:val="0"/>
                  <w:vAlign w:val="center"/>
                </w:tcPr>
                <w:p w14:paraId="254BECE8">
                  <w:pPr>
                    <w:autoSpaceDE w:val="0"/>
                    <w:autoSpaceDN w:val="0"/>
                    <w:jc w:val="center"/>
                    <w:rPr>
                      <w:rFonts w:hint="default" w:ascii="Times New Roman" w:hAnsi="Times New Roman" w:cs="Times New Roman"/>
                      <w:sz w:val="18"/>
                      <w:szCs w:val="18"/>
                      <w:highlight w:val="none"/>
                    </w:rPr>
                  </w:pPr>
                </w:p>
              </w:tc>
              <w:tc>
                <w:tcPr>
                  <w:tcW w:w="574" w:type="dxa"/>
                  <w:vMerge w:val="continue"/>
                  <w:tcBorders>
                    <w:left w:val="single" w:color="auto" w:sz="4" w:space="0"/>
                    <w:right w:val="single" w:color="auto" w:sz="4" w:space="0"/>
                  </w:tcBorders>
                  <w:noWrap w:val="0"/>
                  <w:vAlign w:val="center"/>
                </w:tcPr>
                <w:p w14:paraId="7C80BE7C">
                  <w:pPr>
                    <w:autoSpaceDE w:val="0"/>
                    <w:autoSpaceDN w:val="0"/>
                    <w:jc w:val="center"/>
                    <w:rPr>
                      <w:rFonts w:hint="default" w:ascii="Times New Roman" w:hAnsi="Times New Roman" w:cs="Times New Roman"/>
                      <w:sz w:val="18"/>
                      <w:szCs w:val="18"/>
                      <w:highlight w:val="none"/>
                    </w:rPr>
                  </w:pPr>
                </w:p>
              </w:tc>
              <w:tc>
                <w:tcPr>
                  <w:tcW w:w="653" w:type="dxa"/>
                  <w:tcBorders>
                    <w:top w:val="single" w:color="auto" w:sz="4" w:space="0"/>
                    <w:left w:val="single" w:color="auto" w:sz="4" w:space="0"/>
                    <w:bottom w:val="single" w:color="auto" w:sz="4" w:space="0"/>
                    <w:right w:val="single" w:color="auto" w:sz="4" w:space="0"/>
                  </w:tcBorders>
                  <w:noWrap w:val="0"/>
                  <w:vAlign w:val="center"/>
                </w:tcPr>
                <w:p w14:paraId="3CCBD43C">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sz w:val="18"/>
                      <w:szCs w:val="18"/>
                      <w:highlight w:val="none"/>
                      <w:lang w:val="en-US" w:eastAsia="zh-CN"/>
                    </w:rPr>
                    <w:t>/</w:t>
                  </w:r>
                </w:p>
              </w:tc>
              <w:tc>
                <w:tcPr>
                  <w:tcW w:w="714" w:type="dxa"/>
                  <w:tcBorders>
                    <w:top w:val="single" w:color="auto" w:sz="4" w:space="0"/>
                    <w:left w:val="single" w:color="auto" w:sz="4" w:space="0"/>
                    <w:bottom w:val="single" w:color="auto" w:sz="4" w:space="0"/>
                    <w:right w:val="nil"/>
                  </w:tcBorders>
                  <w:noWrap w:val="0"/>
                  <w:vAlign w:val="center"/>
                </w:tcPr>
                <w:p w14:paraId="23627FFB">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w:t>
                  </w:r>
                </w:p>
              </w:tc>
            </w:tr>
            <w:tr w14:paraId="47DF3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00" w:type="dxa"/>
                  <w:vMerge w:val="continue"/>
                  <w:tcBorders>
                    <w:left w:val="nil"/>
                    <w:right w:val="single" w:color="auto" w:sz="4" w:space="0"/>
                  </w:tcBorders>
                  <w:noWrap w:val="0"/>
                  <w:vAlign w:val="center"/>
                </w:tcPr>
                <w:p w14:paraId="55538709">
                  <w:pPr>
                    <w:autoSpaceDE w:val="0"/>
                    <w:autoSpaceDN w:val="0"/>
                    <w:jc w:val="center"/>
                    <w:rPr>
                      <w:rFonts w:hint="default" w:ascii="Times New Roman" w:hAnsi="Times New Roman" w:cs="Times New Roman"/>
                      <w:sz w:val="18"/>
                      <w:szCs w:val="18"/>
                      <w:highlight w:val="none"/>
                    </w:rPr>
                  </w:pPr>
                </w:p>
              </w:tc>
              <w:tc>
                <w:tcPr>
                  <w:tcW w:w="619" w:type="dxa"/>
                  <w:vMerge w:val="continue"/>
                  <w:tcBorders>
                    <w:left w:val="single" w:color="auto" w:sz="4" w:space="0"/>
                    <w:right w:val="single" w:color="auto" w:sz="4" w:space="0"/>
                  </w:tcBorders>
                  <w:noWrap w:val="0"/>
                  <w:vAlign w:val="center"/>
                </w:tcPr>
                <w:p w14:paraId="31BFCA2A">
                  <w:pPr>
                    <w:autoSpaceDE w:val="0"/>
                    <w:autoSpaceDN w:val="0"/>
                    <w:jc w:val="center"/>
                    <w:rPr>
                      <w:rFonts w:hint="default" w:ascii="Times New Roman" w:hAnsi="Times New Roman" w:cs="Times New Roman"/>
                      <w:sz w:val="18"/>
                      <w:szCs w:val="18"/>
                      <w:highlight w:val="none"/>
                    </w:rPr>
                  </w:pPr>
                </w:p>
              </w:tc>
              <w:tc>
                <w:tcPr>
                  <w:tcW w:w="579" w:type="dxa"/>
                  <w:noWrap w:val="0"/>
                  <w:vAlign w:val="center"/>
                </w:tcPr>
                <w:p w14:paraId="2D180EB0">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SS</w:t>
                  </w:r>
                </w:p>
              </w:tc>
              <w:tc>
                <w:tcPr>
                  <w:tcW w:w="459" w:type="dxa"/>
                  <w:vMerge w:val="continue"/>
                  <w:tcBorders>
                    <w:left w:val="single" w:color="auto" w:sz="4" w:space="0"/>
                    <w:right w:val="single" w:color="auto" w:sz="4" w:space="0"/>
                  </w:tcBorders>
                  <w:noWrap w:val="0"/>
                  <w:vAlign w:val="center"/>
                </w:tcPr>
                <w:p w14:paraId="7FDEB0AE">
                  <w:pPr>
                    <w:autoSpaceDE w:val="0"/>
                    <w:autoSpaceDN w:val="0"/>
                    <w:jc w:val="center"/>
                    <w:rPr>
                      <w:rFonts w:hint="default" w:ascii="Times New Roman" w:hAnsi="Times New Roman" w:cs="Times New Roman"/>
                      <w:sz w:val="18"/>
                      <w:szCs w:val="18"/>
                      <w:highlight w:val="none"/>
                    </w:rPr>
                  </w:pPr>
                </w:p>
              </w:tc>
              <w:tc>
                <w:tcPr>
                  <w:tcW w:w="550" w:type="dxa"/>
                  <w:vMerge w:val="continue"/>
                  <w:tcBorders>
                    <w:left w:val="single" w:color="auto" w:sz="4" w:space="0"/>
                    <w:right w:val="single" w:color="auto" w:sz="4" w:space="0"/>
                  </w:tcBorders>
                  <w:noWrap w:val="0"/>
                  <w:vAlign w:val="center"/>
                </w:tcPr>
                <w:p w14:paraId="1B0C5B9F">
                  <w:pPr>
                    <w:autoSpaceDE w:val="0"/>
                    <w:autoSpaceDN w:val="0"/>
                    <w:jc w:val="center"/>
                    <w:rPr>
                      <w:rFonts w:hint="default" w:ascii="Times New Roman" w:hAnsi="Times New Roman" w:cs="Times New Roman"/>
                      <w:sz w:val="18"/>
                      <w:szCs w:val="18"/>
                      <w:highlight w:val="none"/>
                    </w:rPr>
                  </w:pPr>
                </w:p>
              </w:tc>
              <w:tc>
                <w:tcPr>
                  <w:tcW w:w="664" w:type="dxa"/>
                  <w:noWrap w:val="0"/>
                  <w:vAlign w:val="center"/>
                </w:tcPr>
                <w:p w14:paraId="63B1EDC6">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kern w:val="0"/>
                      <w:sz w:val="18"/>
                      <w:szCs w:val="18"/>
                      <w:highlight w:val="none"/>
                      <w:lang w:bidi="ar"/>
                    </w:rPr>
                    <w:t>300</w:t>
                  </w:r>
                </w:p>
              </w:tc>
              <w:tc>
                <w:tcPr>
                  <w:tcW w:w="700" w:type="dxa"/>
                  <w:noWrap w:val="0"/>
                  <w:vAlign w:val="center"/>
                </w:tcPr>
                <w:p w14:paraId="0E452736">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0.038</w:t>
                  </w:r>
                </w:p>
              </w:tc>
              <w:tc>
                <w:tcPr>
                  <w:tcW w:w="1191" w:type="dxa"/>
                  <w:vMerge w:val="continue"/>
                  <w:tcBorders>
                    <w:left w:val="single" w:color="auto" w:sz="4" w:space="0"/>
                    <w:right w:val="single" w:color="auto" w:sz="4" w:space="0"/>
                  </w:tcBorders>
                  <w:noWrap w:val="0"/>
                  <w:vAlign w:val="center"/>
                </w:tcPr>
                <w:p w14:paraId="135F4DBE">
                  <w:pPr>
                    <w:autoSpaceDE w:val="0"/>
                    <w:autoSpaceDN w:val="0"/>
                    <w:jc w:val="center"/>
                    <w:rPr>
                      <w:rFonts w:hint="default" w:ascii="Times New Roman" w:hAnsi="Times New Roman" w:cs="Times New Roman"/>
                      <w:sz w:val="18"/>
                      <w:szCs w:val="18"/>
                      <w:highlight w:val="none"/>
                    </w:rPr>
                  </w:pPr>
                </w:p>
              </w:tc>
              <w:tc>
                <w:tcPr>
                  <w:tcW w:w="405" w:type="dxa"/>
                  <w:vMerge w:val="continue"/>
                  <w:tcBorders>
                    <w:left w:val="single" w:color="auto" w:sz="4" w:space="0"/>
                    <w:right w:val="single" w:color="auto" w:sz="4" w:space="0"/>
                  </w:tcBorders>
                  <w:noWrap w:val="0"/>
                  <w:vAlign w:val="center"/>
                </w:tcPr>
                <w:p w14:paraId="75A60EE3">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left w:val="single" w:color="auto" w:sz="4" w:space="0"/>
                    <w:right w:val="single" w:color="auto" w:sz="4" w:space="0"/>
                  </w:tcBorders>
                  <w:noWrap w:val="0"/>
                  <w:vAlign w:val="center"/>
                </w:tcPr>
                <w:p w14:paraId="2FA57E0C">
                  <w:pPr>
                    <w:autoSpaceDE w:val="0"/>
                    <w:autoSpaceDN w:val="0"/>
                    <w:jc w:val="center"/>
                    <w:rPr>
                      <w:rFonts w:hint="default" w:ascii="Times New Roman" w:hAnsi="Times New Roman" w:cs="Times New Roman"/>
                      <w:sz w:val="18"/>
                      <w:szCs w:val="18"/>
                      <w:highlight w:val="none"/>
                    </w:rPr>
                  </w:pPr>
                </w:p>
              </w:tc>
              <w:tc>
                <w:tcPr>
                  <w:tcW w:w="574" w:type="dxa"/>
                  <w:vMerge w:val="continue"/>
                  <w:tcBorders>
                    <w:left w:val="single" w:color="auto" w:sz="4" w:space="0"/>
                    <w:right w:val="single" w:color="auto" w:sz="4" w:space="0"/>
                  </w:tcBorders>
                  <w:noWrap w:val="0"/>
                  <w:vAlign w:val="center"/>
                </w:tcPr>
                <w:p w14:paraId="1998AEE8">
                  <w:pPr>
                    <w:autoSpaceDE w:val="0"/>
                    <w:autoSpaceDN w:val="0"/>
                    <w:jc w:val="center"/>
                    <w:rPr>
                      <w:rFonts w:hint="default" w:ascii="Times New Roman" w:hAnsi="Times New Roman" w:cs="Times New Roman"/>
                      <w:sz w:val="18"/>
                      <w:szCs w:val="18"/>
                      <w:highlight w:val="none"/>
                    </w:rPr>
                  </w:pPr>
                </w:p>
              </w:tc>
              <w:tc>
                <w:tcPr>
                  <w:tcW w:w="653" w:type="dxa"/>
                  <w:noWrap w:val="0"/>
                  <w:vAlign w:val="center"/>
                </w:tcPr>
                <w:p w14:paraId="5BB7A64A">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sz w:val="18"/>
                      <w:szCs w:val="18"/>
                      <w:highlight w:val="none"/>
                      <w:lang w:val="en-US" w:eastAsia="zh-CN"/>
                    </w:rPr>
                    <w:t>/</w:t>
                  </w:r>
                </w:p>
              </w:tc>
              <w:tc>
                <w:tcPr>
                  <w:tcW w:w="714" w:type="dxa"/>
                  <w:tcBorders>
                    <w:right w:val="nil"/>
                  </w:tcBorders>
                  <w:noWrap w:val="0"/>
                  <w:vAlign w:val="center"/>
                </w:tcPr>
                <w:p w14:paraId="472EBCB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14:paraId="598F1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00" w:type="dxa"/>
                  <w:vMerge w:val="continue"/>
                  <w:tcBorders>
                    <w:left w:val="nil"/>
                    <w:right w:val="single" w:color="auto" w:sz="4" w:space="0"/>
                  </w:tcBorders>
                  <w:noWrap w:val="0"/>
                  <w:vAlign w:val="center"/>
                </w:tcPr>
                <w:p w14:paraId="4CEF7ED3">
                  <w:pPr>
                    <w:autoSpaceDE w:val="0"/>
                    <w:autoSpaceDN w:val="0"/>
                    <w:jc w:val="center"/>
                    <w:rPr>
                      <w:rFonts w:hint="default" w:ascii="Times New Roman" w:hAnsi="Times New Roman" w:cs="Times New Roman"/>
                      <w:sz w:val="18"/>
                      <w:szCs w:val="18"/>
                      <w:highlight w:val="none"/>
                    </w:rPr>
                  </w:pPr>
                </w:p>
              </w:tc>
              <w:tc>
                <w:tcPr>
                  <w:tcW w:w="619" w:type="dxa"/>
                  <w:vMerge w:val="continue"/>
                  <w:tcBorders>
                    <w:left w:val="single" w:color="auto" w:sz="4" w:space="0"/>
                    <w:right w:val="single" w:color="auto" w:sz="4" w:space="0"/>
                  </w:tcBorders>
                  <w:noWrap w:val="0"/>
                  <w:vAlign w:val="center"/>
                </w:tcPr>
                <w:p w14:paraId="10972E23">
                  <w:pPr>
                    <w:autoSpaceDE w:val="0"/>
                    <w:autoSpaceDN w:val="0"/>
                    <w:jc w:val="center"/>
                    <w:rPr>
                      <w:rFonts w:hint="default" w:ascii="Times New Roman" w:hAnsi="Times New Roman" w:cs="Times New Roman"/>
                      <w:sz w:val="18"/>
                      <w:szCs w:val="18"/>
                      <w:highlight w:val="none"/>
                    </w:rPr>
                  </w:pPr>
                </w:p>
              </w:tc>
              <w:tc>
                <w:tcPr>
                  <w:tcW w:w="579" w:type="dxa"/>
                  <w:noWrap w:val="0"/>
                  <w:vAlign w:val="center"/>
                </w:tcPr>
                <w:p w14:paraId="2EE43907">
                  <w:pPr>
                    <w:widowControl/>
                    <w:adjustRightInd w:val="0"/>
                    <w:snapToGrid w:val="0"/>
                    <w:jc w:val="center"/>
                    <w:rPr>
                      <w:rFonts w:hint="default" w:ascii="Times New Roman" w:hAnsi="Times New Roman" w:cs="Times New Roman"/>
                      <w:bCs/>
                      <w:kern w:val="0"/>
                      <w:sz w:val="18"/>
                      <w:szCs w:val="18"/>
                      <w:highlight w:val="none"/>
                      <w:lang w:val="en-US" w:eastAsia="zh-CN"/>
                    </w:rPr>
                  </w:pPr>
                  <w:r>
                    <w:rPr>
                      <w:rFonts w:hint="default" w:ascii="Times New Roman" w:hAnsi="Times New Roman" w:cs="Times New Roman"/>
                      <w:bCs/>
                      <w:kern w:val="0"/>
                      <w:sz w:val="18"/>
                      <w:szCs w:val="18"/>
                      <w:highlight w:val="none"/>
                    </w:rPr>
                    <w:t>氨</w:t>
                  </w:r>
                </w:p>
                <w:p w14:paraId="673103A6">
                  <w:pPr>
                    <w:widowControl/>
                    <w:adjustRightInd w:val="0"/>
                    <w:snapToGrid w:val="0"/>
                    <w:jc w:val="center"/>
                    <w:rPr>
                      <w:rFonts w:hint="default" w:ascii="Times New Roman" w:hAnsi="Times New Roman" w:cs="Times New Roman"/>
                      <w:bCs/>
                      <w:kern w:val="0"/>
                      <w:sz w:val="18"/>
                      <w:szCs w:val="18"/>
                      <w:highlight w:val="none"/>
                    </w:rPr>
                  </w:pPr>
                  <w:r>
                    <w:rPr>
                      <w:rFonts w:hint="default" w:ascii="Times New Roman" w:hAnsi="Times New Roman" w:cs="Times New Roman"/>
                      <w:bCs/>
                      <w:kern w:val="0"/>
                      <w:sz w:val="18"/>
                      <w:szCs w:val="18"/>
                      <w:highlight w:val="none"/>
                    </w:rPr>
                    <w:t>氮</w:t>
                  </w:r>
                </w:p>
              </w:tc>
              <w:tc>
                <w:tcPr>
                  <w:tcW w:w="459" w:type="dxa"/>
                  <w:vMerge w:val="continue"/>
                  <w:tcBorders>
                    <w:left w:val="single" w:color="auto" w:sz="4" w:space="0"/>
                    <w:right w:val="single" w:color="auto" w:sz="4" w:space="0"/>
                  </w:tcBorders>
                  <w:noWrap w:val="0"/>
                  <w:vAlign w:val="center"/>
                </w:tcPr>
                <w:p w14:paraId="13138607">
                  <w:pPr>
                    <w:autoSpaceDE w:val="0"/>
                    <w:autoSpaceDN w:val="0"/>
                    <w:jc w:val="center"/>
                    <w:rPr>
                      <w:rFonts w:hint="default" w:ascii="Times New Roman" w:hAnsi="Times New Roman" w:cs="Times New Roman"/>
                      <w:sz w:val="18"/>
                      <w:szCs w:val="18"/>
                      <w:highlight w:val="none"/>
                    </w:rPr>
                  </w:pPr>
                </w:p>
              </w:tc>
              <w:tc>
                <w:tcPr>
                  <w:tcW w:w="550" w:type="dxa"/>
                  <w:vMerge w:val="continue"/>
                  <w:tcBorders>
                    <w:left w:val="single" w:color="auto" w:sz="4" w:space="0"/>
                    <w:right w:val="single" w:color="auto" w:sz="4" w:space="0"/>
                  </w:tcBorders>
                  <w:noWrap w:val="0"/>
                  <w:vAlign w:val="center"/>
                </w:tcPr>
                <w:p w14:paraId="2B45F4B3">
                  <w:pPr>
                    <w:autoSpaceDE w:val="0"/>
                    <w:autoSpaceDN w:val="0"/>
                    <w:jc w:val="center"/>
                    <w:rPr>
                      <w:rFonts w:hint="default" w:ascii="Times New Roman" w:hAnsi="Times New Roman" w:cs="Times New Roman"/>
                      <w:sz w:val="18"/>
                      <w:szCs w:val="18"/>
                      <w:highlight w:val="none"/>
                    </w:rPr>
                  </w:pPr>
                </w:p>
              </w:tc>
              <w:tc>
                <w:tcPr>
                  <w:tcW w:w="664" w:type="dxa"/>
                  <w:noWrap w:val="0"/>
                  <w:vAlign w:val="center"/>
                </w:tcPr>
                <w:p w14:paraId="368A5960">
                  <w:pPr>
                    <w:widowControl/>
                    <w:jc w:val="center"/>
                    <w:textAlignment w:val="center"/>
                    <w:rPr>
                      <w:rFonts w:hint="default" w:ascii="Times New Roman" w:hAnsi="Times New Roman" w:cs="Times New Roman"/>
                      <w:bCs/>
                      <w:sz w:val="18"/>
                      <w:szCs w:val="18"/>
                      <w:highlight w:val="none"/>
                    </w:rPr>
                  </w:pPr>
                  <w:r>
                    <w:rPr>
                      <w:rFonts w:hint="default" w:ascii="Times New Roman" w:hAnsi="Times New Roman" w:cs="Times New Roman"/>
                      <w:kern w:val="0"/>
                      <w:sz w:val="18"/>
                      <w:szCs w:val="18"/>
                      <w:highlight w:val="none"/>
                      <w:lang w:bidi="ar"/>
                    </w:rPr>
                    <w:t>25</w:t>
                  </w:r>
                </w:p>
              </w:tc>
              <w:tc>
                <w:tcPr>
                  <w:tcW w:w="700" w:type="dxa"/>
                  <w:noWrap w:val="0"/>
                  <w:vAlign w:val="center"/>
                </w:tcPr>
                <w:p w14:paraId="267E12D9">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0.0032</w:t>
                  </w:r>
                </w:p>
              </w:tc>
              <w:tc>
                <w:tcPr>
                  <w:tcW w:w="1191" w:type="dxa"/>
                  <w:vMerge w:val="continue"/>
                  <w:tcBorders>
                    <w:left w:val="single" w:color="auto" w:sz="4" w:space="0"/>
                    <w:right w:val="single" w:color="auto" w:sz="4" w:space="0"/>
                  </w:tcBorders>
                  <w:noWrap w:val="0"/>
                  <w:vAlign w:val="center"/>
                </w:tcPr>
                <w:p w14:paraId="6EC23CBE">
                  <w:pPr>
                    <w:autoSpaceDE w:val="0"/>
                    <w:autoSpaceDN w:val="0"/>
                    <w:jc w:val="center"/>
                    <w:rPr>
                      <w:rFonts w:hint="default" w:ascii="Times New Roman" w:hAnsi="Times New Roman" w:cs="Times New Roman"/>
                      <w:sz w:val="18"/>
                      <w:szCs w:val="18"/>
                      <w:highlight w:val="none"/>
                    </w:rPr>
                  </w:pPr>
                </w:p>
              </w:tc>
              <w:tc>
                <w:tcPr>
                  <w:tcW w:w="405" w:type="dxa"/>
                  <w:vMerge w:val="continue"/>
                  <w:tcBorders>
                    <w:left w:val="single" w:color="auto" w:sz="4" w:space="0"/>
                    <w:right w:val="single" w:color="auto" w:sz="4" w:space="0"/>
                  </w:tcBorders>
                  <w:noWrap w:val="0"/>
                  <w:vAlign w:val="center"/>
                </w:tcPr>
                <w:p w14:paraId="456CEBCD">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left w:val="single" w:color="auto" w:sz="4" w:space="0"/>
                    <w:right w:val="single" w:color="auto" w:sz="4" w:space="0"/>
                  </w:tcBorders>
                  <w:noWrap w:val="0"/>
                  <w:vAlign w:val="center"/>
                </w:tcPr>
                <w:p w14:paraId="320C164E">
                  <w:pPr>
                    <w:autoSpaceDE w:val="0"/>
                    <w:autoSpaceDN w:val="0"/>
                    <w:jc w:val="center"/>
                    <w:rPr>
                      <w:rFonts w:hint="default" w:ascii="Times New Roman" w:hAnsi="Times New Roman" w:cs="Times New Roman"/>
                      <w:sz w:val="18"/>
                      <w:szCs w:val="18"/>
                      <w:highlight w:val="none"/>
                    </w:rPr>
                  </w:pPr>
                </w:p>
              </w:tc>
              <w:tc>
                <w:tcPr>
                  <w:tcW w:w="574" w:type="dxa"/>
                  <w:vMerge w:val="continue"/>
                  <w:tcBorders>
                    <w:left w:val="single" w:color="auto" w:sz="4" w:space="0"/>
                    <w:right w:val="single" w:color="auto" w:sz="4" w:space="0"/>
                  </w:tcBorders>
                  <w:noWrap w:val="0"/>
                  <w:vAlign w:val="center"/>
                </w:tcPr>
                <w:p w14:paraId="65280DDA">
                  <w:pPr>
                    <w:autoSpaceDE w:val="0"/>
                    <w:autoSpaceDN w:val="0"/>
                    <w:jc w:val="center"/>
                    <w:rPr>
                      <w:rFonts w:hint="default" w:ascii="Times New Roman" w:hAnsi="Times New Roman" w:cs="Times New Roman"/>
                      <w:sz w:val="18"/>
                      <w:szCs w:val="18"/>
                      <w:highlight w:val="none"/>
                      <w:lang w:val="en-US"/>
                    </w:rPr>
                  </w:pPr>
                </w:p>
              </w:tc>
              <w:tc>
                <w:tcPr>
                  <w:tcW w:w="653" w:type="dxa"/>
                  <w:noWrap w:val="0"/>
                  <w:vAlign w:val="center"/>
                </w:tcPr>
                <w:p w14:paraId="70388601">
                  <w:pPr>
                    <w:widowControl/>
                    <w:jc w:val="center"/>
                    <w:textAlignment w:val="center"/>
                    <w:rPr>
                      <w:rFonts w:hint="default" w:ascii="Times New Roman" w:hAnsi="Times New Roman" w:cs="Times New Roman"/>
                      <w:bCs/>
                      <w:sz w:val="18"/>
                      <w:szCs w:val="18"/>
                      <w:highlight w:val="none"/>
                      <w:lang w:val="en-US"/>
                    </w:rPr>
                  </w:pPr>
                  <w:r>
                    <w:rPr>
                      <w:rFonts w:hint="default" w:ascii="Times New Roman" w:hAnsi="Times New Roman" w:cs="Times New Roman"/>
                      <w:sz w:val="18"/>
                      <w:szCs w:val="18"/>
                      <w:highlight w:val="none"/>
                      <w:lang w:val="en-US" w:eastAsia="zh-CN"/>
                    </w:rPr>
                    <w:t>/</w:t>
                  </w:r>
                </w:p>
              </w:tc>
              <w:tc>
                <w:tcPr>
                  <w:tcW w:w="714" w:type="dxa"/>
                  <w:tcBorders>
                    <w:right w:val="nil"/>
                  </w:tcBorders>
                  <w:noWrap w:val="0"/>
                  <w:vAlign w:val="center"/>
                </w:tcPr>
                <w:p w14:paraId="38D4DB1D">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r>
            <w:tr w14:paraId="3B860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00" w:type="dxa"/>
                  <w:vMerge w:val="restart"/>
                  <w:tcBorders>
                    <w:left w:val="nil"/>
                    <w:right w:val="single" w:color="auto" w:sz="4" w:space="0"/>
                  </w:tcBorders>
                  <w:noWrap w:val="0"/>
                  <w:vAlign w:val="center"/>
                </w:tcPr>
                <w:p w14:paraId="19A7D8D9">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锅炉</w:t>
                  </w:r>
                </w:p>
              </w:tc>
              <w:tc>
                <w:tcPr>
                  <w:tcW w:w="619" w:type="dxa"/>
                  <w:vMerge w:val="restart"/>
                  <w:tcBorders>
                    <w:left w:val="single" w:color="auto" w:sz="4" w:space="0"/>
                    <w:right w:val="single" w:color="auto" w:sz="4" w:space="0"/>
                  </w:tcBorders>
                  <w:noWrap w:val="0"/>
                  <w:vAlign w:val="center"/>
                </w:tcPr>
                <w:p w14:paraId="1707BEDA">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锅炉排污水及软化处理废水</w:t>
                  </w:r>
                </w:p>
              </w:tc>
              <w:tc>
                <w:tcPr>
                  <w:tcW w:w="579" w:type="dxa"/>
                  <w:noWrap w:val="0"/>
                  <w:vAlign w:val="center"/>
                </w:tcPr>
                <w:p w14:paraId="667D2001">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COD</w:t>
                  </w:r>
                </w:p>
              </w:tc>
              <w:tc>
                <w:tcPr>
                  <w:tcW w:w="459" w:type="dxa"/>
                  <w:vMerge w:val="restart"/>
                  <w:tcBorders>
                    <w:left w:val="single" w:color="auto" w:sz="4" w:space="0"/>
                    <w:right w:val="single" w:color="auto" w:sz="4" w:space="0"/>
                  </w:tcBorders>
                  <w:noWrap w:val="0"/>
                  <w:vAlign w:val="center"/>
                </w:tcPr>
                <w:p w14:paraId="292DB34C">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类比法</w:t>
                  </w:r>
                </w:p>
              </w:tc>
              <w:tc>
                <w:tcPr>
                  <w:tcW w:w="550" w:type="dxa"/>
                  <w:vMerge w:val="restart"/>
                  <w:tcBorders>
                    <w:left w:val="single" w:color="auto" w:sz="4" w:space="0"/>
                    <w:right w:val="single" w:color="auto" w:sz="4" w:space="0"/>
                  </w:tcBorders>
                  <w:noWrap w:val="0"/>
                  <w:vAlign w:val="center"/>
                </w:tcPr>
                <w:p w14:paraId="05225FF2">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89.13</w:t>
                  </w:r>
                </w:p>
              </w:tc>
              <w:tc>
                <w:tcPr>
                  <w:tcW w:w="664" w:type="dxa"/>
                  <w:noWrap w:val="0"/>
                  <w:vAlign w:val="center"/>
                </w:tcPr>
                <w:p w14:paraId="5BC35CF9">
                  <w:pPr>
                    <w:autoSpaceDE w:val="0"/>
                    <w:autoSpaceDN w:val="0"/>
                    <w:spacing w:line="240" w:lineRule="auto"/>
                    <w:jc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cs="Times New Roman"/>
                      <w:smallCaps w:val="0"/>
                      <w:color w:val="auto"/>
                      <w:kern w:val="0"/>
                      <w:sz w:val="18"/>
                      <w:szCs w:val="18"/>
                      <w:highlight w:val="none"/>
                      <w:lang w:val="en-US" w:eastAsia="zh-CN"/>
                    </w:rPr>
                    <w:t>84.27</w:t>
                  </w:r>
                </w:p>
              </w:tc>
              <w:tc>
                <w:tcPr>
                  <w:tcW w:w="700" w:type="dxa"/>
                  <w:noWrap w:val="0"/>
                  <w:vAlign w:val="center"/>
                </w:tcPr>
                <w:p w14:paraId="018A8CDA">
                  <w:pPr>
                    <w:autoSpaceDE w:val="0"/>
                    <w:autoSpaceDN w:val="0"/>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mallCaps w:val="0"/>
                      <w:color w:val="auto"/>
                      <w:kern w:val="0"/>
                      <w:sz w:val="18"/>
                      <w:szCs w:val="18"/>
                      <w:highlight w:val="none"/>
                      <w:lang w:val="en-US" w:eastAsia="zh-CN"/>
                    </w:rPr>
                    <w:t>0.</w:t>
                  </w:r>
                  <w:r>
                    <w:rPr>
                      <w:rFonts w:hint="default" w:ascii="Times New Roman" w:hAnsi="Times New Roman" w:cs="Times New Roman"/>
                      <w:smallCaps w:val="0"/>
                      <w:color w:val="auto"/>
                      <w:kern w:val="0"/>
                      <w:sz w:val="18"/>
                      <w:szCs w:val="18"/>
                      <w:highlight w:val="none"/>
                      <w:lang w:val="en-US" w:eastAsia="zh-CN"/>
                    </w:rPr>
                    <w:t>0075</w:t>
                  </w:r>
                </w:p>
              </w:tc>
              <w:tc>
                <w:tcPr>
                  <w:tcW w:w="1191" w:type="dxa"/>
                  <w:vMerge w:val="restart"/>
                  <w:tcBorders>
                    <w:left w:val="single" w:color="auto" w:sz="4" w:space="0"/>
                    <w:right w:val="single" w:color="auto" w:sz="4" w:space="0"/>
                  </w:tcBorders>
                  <w:noWrap w:val="0"/>
                  <w:vAlign w:val="center"/>
                </w:tcPr>
                <w:p w14:paraId="0A4BAC17">
                  <w:pPr>
                    <w:pStyle w:val="28"/>
                    <w:spacing w:line="240" w:lineRule="auto"/>
                    <w:jc w:val="both"/>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用于厂区洒水降尘</w:t>
                  </w:r>
                </w:p>
              </w:tc>
              <w:tc>
                <w:tcPr>
                  <w:tcW w:w="405" w:type="dxa"/>
                  <w:vMerge w:val="restart"/>
                  <w:tcBorders>
                    <w:left w:val="single" w:color="auto" w:sz="4" w:space="0"/>
                    <w:right w:val="single" w:color="auto" w:sz="4" w:space="0"/>
                  </w:tcBorders>
                  <w:noWrap w:val="0"/>
                  <w:vAlign w:val="center"/>
                </w:tcPr>
                <w:p w14:paraId="09646907">
                  <w:pPr>
                    <w:pStyle w:val="29"/>
                    <w:adjustRightInd/>
                    <w:snapToGrid/>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394" w:type="dxa"/>
                  <w:vMerge w:val="continue"/>
                  <w:tcBorders>
                    <w:left w:val="single" w:color="auto" w:sz="4" w:space="0"/>
                    <w:right w:val="single" w:color="auto" w:sz="4" w:space="0"/>
                  </w:tcBorders>
                  <w:noWrap w:val="0"/>
                  <w:vAlign w:val="center"/>
                </w:tcPr>
                <w:p w14:paraId="6AAC7AB5">
                  <w:pPr>
                    <w:autoSpaceDE w:val="0"/>
                    <w:autoSpaceDN w:val="0"/>
                    <w:jc w:val="center"/>
                    <w:rPr>
                      <w:rFonts w:hint="default" w:ascii="Times New Roman" w:hAnsi="Times New Roman" w:cs="Times New Roman"/>
                      <w:sz w:val="18"/>
                      <w:szCs w:val="18"/>
                      <w:highlight w:val="none"/>
                    </w:rPr>
                  </w:pPr>
                </w:p>
              </w:tc>
              <w:tc>
                <w:tcPr>
                  <w:tcW w:w="574" w:type="dxa"/>
                  <w:vMerge w:val="restart"/>
                  <w:tcBorders>
                    <w:left w:val="single" w:color="auto" w:sz="4" w:space="0"/>
                    <w:right w:val="single" w:color="auto" w:sz="4" w:space="0"/>
                  </w:tcBorders>
                  <w:noWrap w:val="0"/>
                  <w:vAlign w:val="center"/>
                </w:tcPr>
                <w:p w14:paraId="277645E1">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w:t>
                  </w:r>
                </w:p>
              </w:tc>
              <w:tc>
                <w:tcPr>
                  <w:tcW w:w="653" w:type="dxa"/>
                  <w:noWrap w:val="0"/>
                  <w:vAlign w:val="center"/>
                </w:tcPr>
                <w:p w14:paraId="59B1158C">
                  <w:pPr>
                    <w:widowControl/>
                    <w:jc w:val="center"/>
                    <w:textAlignment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cs="Times New Roman"/>
                      <w:sz w:val="18"/>
                      <w:szCs w:val="18"/>
                      <w:highlight w:val="none"/>
                      <w:lang w:val="en-US" w:eastAsia="zh-CN"/>
                    </w:rPr>
                    <w:t>/</w:t>
                  </w:r>
                </w:p>
              </w:tc>
              <w:tc>
                <w:tcPr>
                  <w:tcW w:w="714" w:type="dxa"/>
                  <w:tcBorders>
                    <w:right w:val="nil"/>
                  </w:tcBorders>
                  <w:noWrap w:val="0"/>
                  <w:vAlign w:val="center"/>
                </w:tcPr>
                <w:p w14:paraId="55E2935F">
                  <w:pPr>
                    <w:autoSpaceDE w:val="0"/>
                    <w:autoSpaceDN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w:t>
                  </w:r>
                </w:p>
              </w:tc>
            </w:tr>
            <w:tr w14:paraId="010573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400" w:type="dxa"/>
                  <w:vMerge w:val="continue"/>
                  <w:tcBorders>
                    <w:left w:val="nil"/>
                    <w:right w:val="single" w:color="auto" w:sz="4" w:space="0"/>
                  </w:tcBorders>
                  <w:noWrap w:val="0"/>
                  <w:vAlign w:val="center"/>
                </w:tcPr>
                <w:p w14:paraId="66213AF1">
                  <w:pPr>
                    <w:autoSpaceDE w:val="0"/>
                    <w:autoSpaceDN w:val="0"/>
                    <w:jc w:val="center"/>
                    <w:rPr>
                      <w:rFonts w:hint="default" w:ascii="Times New Roman" w:hAnsi="Times New Roman" w:cs="Times New Roman"/>
                      <w:sz w:val="18"/>
                      <w:szCs w:val="18"/>
                      <w:highlight w:val="none"/>
                    </w:rPr>
                  </w:pPr>
                </w:p>
              </w:tc>
              <w:tc>
                <w:tcPr>
                  <w:tcW w:w="619" w:type="dxa"/>
                  <w:vMerge w:val="continue"/>
                  <w:tcBorders>
                    <w:left w:val="single" w:color="auto" w:sz="4" w:space="0"/>
                    <w:right w:val="single" w:color="auto" w:sz="4" w:space="0"/>
                  </w:tcBorders>
                  <w:noWrap w:val="0"/>
                  <w:vAlign w:val="center"/>
                </w:tcPr>
                <w:p w14:paraId="23C599D5">
                  <w:pPr>
                    <w:autoSpaceDE w:val="0"/>
                    <w:autoSpaceDN w:val="0"/>
                    <w:jc w:val="center"/>
                    <w:rPr>
                      <w:rFonts w:hint="default" w:ascii="Times New Roman" w:hAnsi="Times New Roman" w:cs="Times New Roman"/>
                      <w:sz w:val="18"/>
                      <w:szCs w:val="18"/>
                      <w:highlight w:val="none"/>
                    </w:rPr>
                  </w:pPr>
                </w:p>
              </w:tc>
              <w:tc>
                <w:tcPr>
                  <w:tcW w:w="579" w:type="dxa"/>
                  <w:noWrap w:val="0"/>
                  <w:vAlign w:val="center"/>
                </w:tcPr>
                <w:p w14:paraId="2DEDE27C">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溶解性总固体</w:t>
                  </w:r>
                </w:p>
              </w:tc>
              <w:tc>
                <w:tcPr>
                  <w:tcW w:w="459" w:type="dxa"/>
                  <w:vMerge w:val="continue"/>
                  <w:tcBorders>
                    <w:left w:val="single" w:color="auto" w:sz="4" w:space="0"/>
                    <w:right w:val="single" w:color="auto" w:sz="4" w:space="0"/>
                  </w:tcBorders>
                  <w:noWrap w:val="0"/>
                  <w:vAlign w:val="center"/>
                </w:tcPr>
                <w:p w14:paraId="585FCCAC">
                  <w:pPr>
                    <w:autoSpaceDE w:val="0"/>
                    <w:autoSpaceDN w:val="0"/>
                    <w:jc w:val="center"/>
                    <w:rPr>
                      <w:rFonts w:hint="default" w:ascii="Times New Roman" w:hAnsi="Times New Roman" w:cs="Times New Roman"/>
                      <w:sz w:val="18"/>
                      <w:szCs w:val="18"/>
                      <w:highlight w:val="none"/>
                    </w:rPr>
                  </w:pPr>
                </w:p>
              </w:tc>
              <w:tc>
                <w:tcPr>
                  <w:tcW w:w="550" w:type="dxa"/>
                  <w:vMerge w:val="continue"/>
                  <w:tcBorders>
                    <w:left w:val="single" w:color="auto" w:sz="4" w:space="0"/>
                    <w:right w:val="single" w:color="auto" w:sz="4" w:space="0"/>
                  </w:tcBorders>
                  <w:noWrap w:val="0"/>
                  <w:vAlign w:val="center"/>
                </w:tcPr>
                <w:p w14:paraId="09491FB3">
                  <w:pPr>
                    <w:autoSpaceDE w:val="0"/>
                    <w:autoSpaceDN w:val="0"/>
                    <w:jc w:val="center"/>
                    <w:rPr>
                      <w:rFonts w:hint="default" w:ascii="Times New Roman" w:hAnsi="Times New Roman" w:cs="Times New Roman"/>
                      <w:sz w:val="18"/>
                      <w:szCs w:val="18"/>
                      <w:highlight w:val="none"/>
                    </w:rPr>
                  </w:pPr>
                </w:p>
              </w:tc>
              <w:tc>
                <w:tcPr>
                  <w:tcW w:w="664" w:type="dxa"/>
                  <w:noWrap w:val="0"/>
                  <w:vAlign w:val="center"/>
                </w:tcPr>
                <w:p w14:paraId="58D4C82F">
                  <w:pPr>
                    <w:spacing w:line="240" w:lineRule="auto"/>
                    <w:jc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eastAsia="宋体" w:cs="Times New Roman"/>
                      <w:smallCaps w:val="0"/>
                      <w:color w:val="auto"/>
                      <w:kern w:val="0"/>
                      <w:sz w:val="18"/>
                      <w:szCs w:val="18"/>
                      <w:highlight w:val="none"/>
                      <w:lang w:val="en-US" w:eastAsia="zh-CN"/>
                    </w:rPr>
                    <w:t>1500</w:t>
                  </w:r>
                </w:p>
              </w:tc>
              <w:tc>
                <w:tcPr>
                  <w:tcW w:w="700" w:type="dxa"/>
                  <w:noWrap w:val="0"/>
                  <w:vAlign w:val="center"/>
                </w:tcPr>
                <w:p w14:paraId="299A5958">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mallCaps w:val="0"/>
                      <w:color w:val="auto"/>
                      <w:kern w:val="0"/>
                      <w:sz w:val="18"/>
                      <w:szCs w:val="18"/>
                      <w:highlight w:val="none"/>
                      <w:lang w:val="en-US" w:eastAsia="zh-CN"/>
                    </w:rPr>
                    <w:t>0.13</w:t>
                  </w:r>
                </w:p>
              </w:tc>
              <w:tc>
                <w:tcPr>
                  <w:tcW w:w="1191" w:type="dxa"/>
                  <w:vMerge w:val="continue"/>
                  <w:tcBorders>
                    <w:left w:val="single" w:color="auto" w:sz="4" w:space="0"/>
                    <w:right w:val="single" w:color="auto" w:sz="4" w:space="0"/>
                  </w:tcBorders>
                  <w:noWrap w:val="0"/>
                  <w:vAlign w:val="center"/>
                </w:tcPr>
                <w:p w14:paraId="66BA709E">
                  <w:pPr>
                    <w:autoSpaceDE w:val="0"/>
                    <w:autoSpaceDN w:val="0"/>
                    <w:jc w:val="center"/>
                    <w:rPr>
                      <w:rFonts w:hint="default" w:ascii="Times New Roman" w:hAnsi="Times New Roman" w:cs="Times New Roman"/>
                      <w:sz w:val="18"/>
                      <w:szCs w:val="18"/>
                      <w:highlight w:val="none"/>
                    </w:rPr>
                  </w:pPr>
                </w:p>
              </w:tc>
              <w:tc>
                <w:tcPr>
                  <w:tcW w:w="405" w:type="dxa"/>
                  <w:vMerge w:val="continue"/>
                  <w:tcBorders>
                    <w:left w:val="single" w:color="auto" w:sz="4" w:space="0"/>
                    <w:right w:val="single" w:color="auto" w:sz="4" w:space="0"/>
                  </w:tcBorders>
                  <w:noWrap w:val="0"/>
                  <w:vAlign w:val="center"/>
                </w:tcPr>
                <w:p w14:paraId="17436612">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left w:val="single" w:color="auto" w:sz="4" w:space="0"/>
                    <w:right w:val="single" w:color="auto" w:sz="4" w:space="0"/>
                  </w:tcBorders>
                  <w:noWrap w:val="0"/>
                  <w:vAlign w:val="center"/>
                </w:tcPr>
                <w:p w14:paraId="41923416">
                  <w:pPr>
                    <w:autoSpaceDE w:val="0"/>
                    <w:autoSpaceDN w:val="0"/>
                    <w:jc w:val="center"/>
                    <w:rPr>
                      <w:rFonts w:hint="default" w:ascii="Times New Roman" w:hAnsi="Times New Roman" w:cs="Times New Roman"/>
                      <w:sz w:val="18"/>
                      <w:szCs w:val="18"/>
                      <w:highlight w:val="none"/>
                    </w:rPr>
                  </w:pPr>
                </w:p>
              </w:tc>
              <w:tc>
                <w:tcPr>
                  <w:tcW w:w="574" w:type="dxa"/>
                  <w:vMerge w:val="continue"/>
                  <w:tcBorders>
                    <w:left w:val="single" w:color="auto" w:sz="4" w:space="0"/>
                    <w:right w:val="single" w:color="auto" w:sz="4" w:space="0"/>
                  </w:tcBorders>
                  <w:noWrap w:val="0"/>
                  <w:vAlign w:val="center"/>
                </w:tcPr>
                <w:p w14:paraId="73D0CB93">
                  <w:pPr>
                    <w:autoSpaceDE w:val="0"/>
                    <w:autoSpaceDN w:val="0"/>
                    <w:jc w:val="center"/>
                    <w:rPr>
                      <w:rFonts w:hint="default" w:ascii="Times New Roman" w:hAnsi="Times New Roman" w:cs="Times New Roman"/>
                      <w:sz w:val="18"/>
                      <w:szCs w:val="18"/>
                      <w:highlight w:val="none"/>
                    </w:rPr>
                  </w:pPr>
                </w:p>
              </w:tc>
              <w:tc>
                <w:tcPr>
                  <w:tcW w:w="653" w:type="dxa"/>
                  <w:noWrap w:val="0"/>
                  <w:vAlign w:val="center"/>
                </w:tcPr>
                <w:p w14:paraId="7273160C">
                  <w:pPr>
                    <w:widowControl/>
                    <w:jc w:val="center"/>
                    <w:textAlignment w:val="center"/>
                    <w:rPr>
                      <w:rFonts w:hint="default" w:ascii="Times New Roman" w:hAnsi="Times New Roman" w:cs="Times New Roman"/>
                      <w:kern w:val="0"/>
                      <w:sz w:val="18"/>
                      <w:szCs w:val="18"/>
                      <w:highlight w:val="none"/>
                      <w:lang w:bidi="ar"/>
                    </w:rPr>
                  </w:pPr>
                  <w:r>
                    <w:rPr>
                      <w:rFonts w:hint="default" w:ascii="Times New Roman" w:hAnsi="Times New Roman" w:cs="Times New Roman"/>
                      <w:sz w:val="18"/>
                      <w:szCs w:val="18"/>
                      <w:highlight w:val="none"/>
                      <w:lang w:val="en-US" w:eastAsia="zh-CN"/>
                    </w:rPr>
                    <w:t>/</w:t>
                  </w:r>
                </w:p>
              </w:tc>
              <w:tc>
                <w:tcPr>
                  <w:tcW w:w="714" w:type="dxa"/>
                  <w:tcBorders>
                    <w:right w:val="nil"/>
                  </w:tcBorders>
                  <w:noWrap w:val="0"/>
                  <w:vAlign w:val="center"/>
                </w:tcPr>
                <w:p w14:paraId="2D5EA38D">
                  <w:pPr>
                    <w:autoSpaceDE w:val="0"/>
                    <w:autoSpaceDN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sz w:val="18"/>
                      <w:szCs w:val="18"/>
                      <w:highlight w:val="none"/>
                      <w:lang w:val="en-US" w:eastAsia="zh-CN"/>
                    </w:rPr>
                    <w:t>/</w:t>
                  </w:r>
                </w:p>
              </w:tc>
            </w:tr>
            <w:tr w14:paraId="50D3F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00" w:type="dxa"/>
                  <w:vMerge w:val="restart"/>
                  <w:tcBorders>
                    <w:left w:val="nil"/>
                    <w:right w:val="single" w:color="auto" w:sz="4" w:space="0"/>
                  </w:tcBorders>
                  <w:noWrap w:val="0"/>
                  <w:vAlign w:val="center"/>
                </w:tcPr>
                <w:p w14:paraId="612FD5EC">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生产</w:t>
                  </w:r>
                </w:p>
              </w:tc>
              <w:tc>
                <w:tcPr>
                  <w:tcW w:w="619" w:type="dxa"/>
                  <w:vMerge w:val="restart"/>
                  <w:tcBorders>
                    <w:left w:val="single" w:color="auto" w:sz="4" w:space="0"/>
                    <w:right w:val="single" w:color="auto" w:sz="4" w:space="0"/>
                  </w:tcBorders>
                  <w:noWrap w:val="0"/>
                  <w:vAlign w:val="center"/>
                </w:tcPr>
                <w:p w14:paraId="779E18A4">
                  <w:pPr>
                    <w:autoSpaceDE w:val="0"/>
                    <w:autoSpaceDN w:val="0"/>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生产废水</w:t>
                  </w:r>
                </w:p>
              </w:tc>
              <w:tc>
                <w:tcPr>
                  <w:tcW w:w="579" w:type="dxa"/>
                  <w:noWrap w:val="0"/>
                  <w:vAlign w:val="center"/>
                </w:tcPr>
                <w:p w14:paraId="503DEB16">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COD</w:t>
                  </w:r>
                </w:p>
              </w:tc>
              <w:tc>
                <w:tcPr>
                  <w:tcW w:w="459" w:type="dxa"/>
                  <w:vMerge w:val="restart"/>
                  <w:noWrap w:val="0"/>
                  <w:vAlign w:val="center"/>
                </w:tcPr>
                <w:p w14:paraId="5499AFCE">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类比法</w:t>
                  </w:r>
                </w:p>
              </w:tc>
              <w:tc>
                <w:tcPr>
                  <w:tcW w:w="550" w:type="dxa"/>
                  <w:vMerge w:val="restart"/>
                  <w:tcBorders>
                    <w:left w:val="single" w:color="auto" w:sz="4" w:space="0"/>
                    <w:right w:val="single" w:color="auto" w:sz="4" w:space="0"/>
                  </w:tcBorders>
                  <w:noWrap w:val="0"/>
                  <w:vAlign w:val="center"/>
                </w:tcPr>
                <w:p w14:paraId="1C4EC9F1">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124.16</w:t>
                  </w:r>
                </w:p>
              </w:tc>
              <w:tc>
                <w:tcPr>
                  <w:tcW w:w="664" w:type="dxa"/>
                  <w:noWrap w:val="0"/>
                  <w:vAlign w:val="center"/>
                </w:tcPr>
                <w:p w14:paraId="01BD744C">
                  <w:pPr>
                    <w:widowControl/>
                    <w:jc w:val="center"/>
                    <w:textAlignment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eastAsia="宋体" w:cs="Times New Roman"/>
                      <w:kern w:val="0"/>
                      <w:sz w:val="18"/>
                      <w:szCs w:val="18"/>
                      <w:highlight w:val="none"/>
                      <w:lang w:val="en-US" w:eastAsia="zh-CN" w:bidi="ar"/>
                    </w:rPr>
                    <w:t>276</w:t>
                  </w:r>
                </w:p>
              </w:tc>
              <w:tc>
                <w:tcPr>
                  <w:tcW w:w="700" w:type="dxa"/>
                  <w:noWrap w:val="0"/>
                  <w:vAlign w:val="center"/>
                </w:tcPr>
                <w:p w14:paraId="7DC950AF">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0.034</w:t>
                  </w:r>
                </w:p>
              </w:tc>
              <w:tc>
                <w:tcPr>
                  <w:tcW w:w="1191" w:type="dxa"/>
                  <w:vMerge w:val="restart"/>
                  <w:tcBorders>
                    <w:left w:val="single" w:color="auto" w:sz="4" w:space="0"/>
                    <w:right w:val="single" w:color="auto" w:sz="4" w:space="0"/>
                  </w:tcBorders>
                  <w:noWrap w:val="0"/>
                  <w:vAlign w:val="center"/>
                </w:tcPr>
                <w:p w14:paraId="4C9B58F4">
                  <w:pPr>
                    <w:pStyle w:val="28"/>
                    <w:spacing w:line="240" w:lineRule="auto"/>
                    <w:jc w:val="both"/>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排入</w:t>
                  </w:r>
                  <w:r>
                    <w:rPr>
                      <w:rFonts w:hint="default" w:ascii="Times New Roman" w:hAnsi="Times New Roman" w:eastAsia="宋体" w:cs="Times New Roman"/>
                      <w:sz w:val="18"/>
                      <w:szCs w:val="18"/>
                      <w:highlight w:val="none"/>
                      <w:lang w:val="en-US" w:eastAsia="zh-CN"/>
                    </w:rPr>
                    <w:t>16m</w:t>
                  </w:r>
                  <w:r>
                    <w:rPr>
                      <w:rFonts w:hint="default" w:ascii="Times New Roman" w:hAnsi="Times New Roman" w:eastAsia="宋体" w:cs="Times New Roman"/>
                      <w:sz w:val="18"/>
                      <w:szCs w:val="18"/>
                      <w:highlight w:val="none"/>
                      <w:vertAlign w:val="superscript"/>
                      <w:lang w:val="en-US" w:eastAsia="zh-CN"/>
                    </w:rPr>
                    <w:t>3</w:t>
                  </w:r>
                  <w:r>
                    <w:rPr>
                      <w:rFonts w:hint="default" w:ascii="Times New Roman" w:hAnsi="Times New Roman" w:eastAsia="宋体" w:cs="Times New Roman"/>
                      <w:sz w:val="18"/>
                      <w:szCs w:val="18"/>
                      <w:highlight w:val="none"/>
                      <w:vertAlign w:val="baseline"/>
                      <w:lang w:val="en-US" w:eastAsia="zh-CN"/>
                    </w:rPr>
                    <w:t>防渗储池后</w:t>
                  </w:r>
                  <w:r>
                    <w:rPr>
                      <w:rFonts w:hint="default"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lang w:eastAsia="zh-CN"/>
                    </w:rPr>
                    <w:t>每五天定期拉运污水处理厂一次</w:t>
                  </w:r>
                </w:p>
              </w:tc>
              <w:tc>
                <w:tcPr>
                  <w:tcW w:w="405" w:type="dxa"/>
                  <w:vMerge w:val="restart"/>
                  <w:noWrap w:val="0"/>
                  <w:vAlign w:val="center"/>
                </w:tcPr>
                <w:p w14:paraId="7D2D3F63">
                  <w:pPr>
                    <w:pStyle w:val="29"/>
                    <w:adjustRightInd/>
                    <w:snapToGrid/>
                    <w:spacing w:line="240" w:lineRule="auto"/>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394" w:type="dxa"/>
                  <w:vMerge w:val="continue"/>
                  <w:tcBorders>
                    <w:left w:val="single" w:color="auto" w:sz="4" w:space="0"/>
                    <w:right w:val="single" w:color="auto" w:sz="4" w:space="0"/>
                  </w:tcBorders>
                  <w:noWrap w:val="0"/>
                  <w:vAlign w:val="center"/>
                </w:tcPr>
                <w:p w14:paraId="5055E6AC">
                  <w:pPr>
                    <w:autoSpaceDE w:val="0"/>
                    <w:autoSpaceDN w:val="0"/>
                    <w:jc w:val="center"/>
                    <w:rPr>
                      <w:rFonts w:hint="default" w:ascii="Times New Roman" w:hAnsi="Times New Roman" w:cs="Times New Roman"/>
                      <w:sz w:val="18"/>
                      <w:szCs w:val="18"/>
                      <w:highlight w:val="none"/>
                    </w:rPr>
                  </w:pPr>
                </w:p>
              </w:tc>
              <w:tc>
                <w:tcPr>
                  <w:tcW w:w="574" w:type="dxa"/>
                  <w:vMerge w:val="restart"/>
                  <w:noWrap w:val="0"/>
                  <w:vAlign w:val="center"/>
                </w:tcPr>
                <w:p w14:paraId="1B737910">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124.16</w:t>
                  </w:r>
                </w:p>
              </w:tc>
              <w:tc>
                <w:tcPr>
                  <w:tcW w:w="653" w:type="dxa"/>
                  <w:noWrap w:val="0"/>
                  <w:vAlign w:val="center"/>
                </w:tcPr>
                <w:p w14:paraId="64A44DF2">
                  <w:pPr>
                    <w:widowControl/>
                    <w:jc w:val="center"/>
                    <w:textAlignment w:val="center"/>
                    <w:rPr>
                      <w:rFonts w:hint="default" w:ascii="Times New Roman" w:hAnsi="Times New Roman" w:cs="Times New Roman"/>
                      <w:kern w:val="0"/>
                      <w:sz w:val="18"/>
                      <w:szCs w:val="18"/>
                      <w:highlight w:val="none"/>
                      <w:lang w:bidi="ar"/>
                    </w:rPr>
                  </w:pPr>
                  <w:r>
                    <w:rPr>
                      <w:rFonts w:hint="default" w:ascii="Times New Roman" w:hAnsi="Times New Roman" w:eastAsia="宋体" w:cs="Times New Roman"/>
                      <w:kern w:val="0"/>
                      <w:sz w:val="18"/>
                      <w:szCs w:val="18"/>
                      <w:highlight w:val="none"/>
                      <w:lang w:val="en-US" w:eastAsia="zh-CN" w:bidi="ar"/>
                    </w:rPr>
                    <w:t>276</w:t>
                  </w:r>
                </w:p>
              </w:tc>
              <w:tc>
                <w:tcPr>
                  <w:tcW w:w="714" w:type="dxa"/>
                  <w:tcBorders>
                    <w:right w:val="nil"/>
                  </w:tcBorders>
                  <w:noWrap w:val="0"/>
                  <w:vAlign w:val="center"/>
                </w:tcPr>
                <w:p w14:paraId="364B7320">
                  <w:pPr>
                    <w:autoSpaceDE w:val="0"/>
                    <w:autoSpaceDN w:val="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sz w:val="18"/>
                      <w:szCs w:val="18"/>
                      <w:highlight w:val="none"/>
                      <w:lang w:val="en-US" w:eastAsia="zh-CN"/>
                    </w:rPr>
                    <w:t>0.034</w:t>
                  </w:r>
                </w:p>
              </w:tc>
            </w:tr>
            <w:tr w14:paraId="2164F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00" w:type="dxa"/>
                  <w:vMerge w:val="continue"/>
                  <w:tcBorders>
                    <w:left w:val="nil"/>
                    <w:bottom w:val="single" w:color="auto" w:sz="8" w:space="0"/>
                    <w:right w:val="single" w:color="auto" w:sz="4" w:space="0"/>
                  </w:tcBorders>
                  <w:noWrap w:val="0"/>
                  <w:vAlign w:val="center"/>
                </w:tcPr>
                <w:p w14:paraId="20529280">
                  <w:pPr>
                    <w:autoSpaceDE w:val="0"/>
                    <w:autoSpaceDN w:val="0"/>
                    <w:jc w:val="center"/>
                    <w:rPr>
                      <w:rFonts w:hint="default" w:ascii="Times New Roman" w:hAnsi="Times New Roman" w:cs="Times New Roman"/>
                      <w:sz w:val="18"/>
                      <w:szCs w:val="18"/>
                      <w:highlight w:val="none"/>
                    </w:rPr>
                  </w:pPr>
                </w:p>
              </w:tc>
              <w:tc>
                <w:tcPr>
                  <w:tcW w:w="619" w:type="dxa"/>
                  <w:vMerge w:val="continue"/>
                  <w:tcBorders>
                    <w:left w:val="single" w:color="auto" w:sz="4" w:space="0"/>
                    <w:bottom w:val="single" w:color="auto" w:sz="8" w:space="0"/>
                    <w:right w:val="single" w:color="auto" w:sz="4" w:space="0"/>
                  </w:tcBorders>
                  <w:noWrap w:val="0"/>
                  <w:vAlign w:val="center"/>
                </w:tcPr>
                <w:p w14:paraId="7B166068">
                  <w:pPr>
                    <w:autoSpaceDE w:val="0"/>
                    <w:autoSpaceDN w:val="0"/>
                    <w:jc w:val="center"/>
                    <w:rPr>
                      <w:rFonts w:hint="default" w:ascii="Times New Roman" w:hAnsi="Times New Roman" w:cs="Times New Roman"/>
                      <w:sz w:val="18"/>
                      <w:szCs w:val="18"/>
                      <w:highlight w:val="none"/>
                    </w:rPr>
                  </w:pPr>
                </w:p>
              </w:tc>
              <w:tc>
                <w:tcPr>
                  <w:tcW w:w="579" w:type="dxa"/>
                  <w:tcBorders>
                    <w:bottom w:val="single" w:color="auto" w:sz="8" w:space="0"/>
                  </w:tcBorders>
                  <w:noWrap w:val="0"/>
                  <w:vAlign w:val="center"/>
                </w:tcPr>
                <w:p w14:paraId="2A401F54">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氨氮</w:t>
                  </w:r>
                </w:p>
              </w:tc>
              <w:tc>
                <w:tcPr>
                  <w:tcW w:w="459" w:type="dxa"/>
                  <w:vMerge w:val="continue"/>
                  <w:tcBorders>
                    <w:bottom w:val="single" w:color="auto" w:sz="8" w:space="0"/>
                  </w:tcBorders>
                  <w:noWrap w:val="0"/>
                  <w:vAlign w:val="center"/>
                </w:tcPr>
                <w:p w14:paraId="1E6A908B">
                  <w:pPr>
                    <w:autoSpaceDE w:val="0"/>
                    <w:autoSpaceDN w:val="0"/>
                    <w:jc w:val="center"/>
                    <w:rPr>
                      <w:rFonts w:hint="default" w:ascii="Times New Roman" w:hAnsi="Times New Roman" w:cs="Times New Roman"/>
                      <w:sz w:val="18"/>
                      <w:szCs w:val="18"/>
                      <w:highlight w:val="none"/>
                    </w:rPr>
                  </w:pPr>
                </w:p>
              </w:tc>
              <w:tc>
                <w:tcPr>
                  <w:tcW w:w="550" w:type="dxa"/>
                  <w:vMerge w:val="continue"/>
                  <w:tcBorders>
                    <w:left w:val="single" w:color="auto" w:sz="4" w:space="0"/>
                    <w:bottom w:val="single" w:color="auto" w:sz="8" w:space="0"/>
                    <w:right w:val="single" w:color="auto" w:sz="4" w:space="0"/>
                  </w:tcBorders>
                  <w:noWrap w:val="0"/>
                  <w:vAlign w:val="center"/>
                </w:tcPr>
                <w:p w14:paraId="553ACE9D">
                  <w:pPr>
                    <w:autoSpaceDE w:val="0"/>
                    <w:autoSpaceDN w:val="0"/>
                    <w:jc w:val="center"/>
                    <w:rPr>
                      <w:rFonts w:hint="default" w:ascii="Times New Roman" w:hAnsi="Times New Roman" w:cs="Times New Roman"/>
                      <w:kern w:val="24"/>
                      <w:sz w:val="18"/>
                      <w:szCs w:val="18"/>
                      <w:highlight w:val="none"/>
                    </w:rPr>
                  </w:pPr>
                </w:p>
              </w:tc>
              <w:tc>
                <w:tcPr>
                  <w:tcW w:w="664" w:type="dxa"/>
                  <w:tcBorders>
                    <w:bottom w:val="single" w:color="auto" w:sz="8" w:space="0"/>
                  </w:tcBorders>
                  <w:noWrap w:val="0"/>
                  <w:vAlign w:val="center"/>
                </w:tcPr>
                <w:p w14:paraId="37651DE0">
                  <w:pPr>
                    <w:widowControl/>
                    <w:jc w:val="center"/>
                    <w:textAlignment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eastAsia="宋体" w:cs="Times New Roman"/>
                      <w:kern w:val="0"/>
                      <w:sz w:val="18"/>
                      <w:szCs w:val="18"/>
                      <w:highlight w:val="none"/>
                      <w:lang w:val="en-US" w:eastAsia="zh-CN" w:bidi="ar"/>
                    </w:rPr>
                    <w:t>1.36</w:t>
                  </w:r>
                </w:p>
              </w:tc>
              <w:tc>
                <w:tcPr>
                  <w:tcW w:w="700" w:type="dxa"/>
                  <w:tcBorders>
                    <w:bottom w:val="single" w:color="auto" w:sz="8" w:space="0"/>
                  </w:tcBorders>
                  <w:noWrap w:val="0"/>
                  <w:vAlign w:val="center"/>
                </w:tcPr>
                <w:p w14:paraId="2A20D13A">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0.00017</w:t>
                  </w:r>
                </w:p>
              </w:tc>
              <w:tc>
                <w:tcPr>
                  <w:tcW w:w="1191" w:type="dxa"/>
                  <w:vMerge w:val="continue"/>
                  <w:tcBorders>
                    <w:left w:val="single" w:color="auto" w:sz="4" w:space="0"/>
                    <w:right w:val="single" w:color="auto" w:sz="4" w:space="0"/>
                  </w:tcBorders>
                  <w:noWrap w:val="0"/>
                  <w:vAlign w:val="center"/>
                </w:tcPr>
                <w:p w14:paraId="6758685B">
                  <w:pPr>
                    <w:pStyle w:val="28"/>
                    <w:spacing w:line="240" w:lineRule="auto"/>
                    <w:rPr>
                      <w:rFonts w:hint="default" w:ascii="Times New Roman" w:hAnsi="Times New Roman" w:eastAsia="宋体" w:cs="Times New Roman"/>
                      <w:sz w:val="18"/>
                      <w:szCs w:val="18"/>
                      <w:highlight w:val="none"/>
                    </w:rPr>
                  </w:pPr>
                </w:p>
              </w:tc>
              <w:tc>
                <w:tcPr>
                  <w:tcW w:w="405" w:type="dxa"/>
                  <w:vMerge w:val="continue"/>
                  <w:tcBorders>
                    <w:bottom w:val="single" w:color="auto" w:sz="8" w:space="0"/>
                  </w:tcBorders>
                  <w:noWrap w:val="0"/>
                  <w:vAlign w:val="center"/>
                </w:tcPr>
                <w:p w14:paraId="47440E6D">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left w:val="single" w:color="auto" w:sz="4" w:space="0"/>
                    <w:bottom w:val="single" w:color="auto" w:sz="8" w:space="0"/>
                    <w:right w:val="single" w:color="auto" w:sz="4" w:space="0"/>
                  </w:tcBorders>
                  <w:noWrap w:val="0"/>
                  <w:vAlign w:val="center"/>
                </w:tcPr>
                <w:p w14:paraId="02BE94F7">
                  <w:pPr>
                    <w:autoSpaceDE w:val="0"/>
                    <w:autoSpaceDN w:val="0"/>
                    <w:jc w:val="center"/>
                    <w:rPr>
                      <w:rFonts w:hint="default" w:ascii="Times New Roman" w:hAnsi="Times New Roman" w:cs="Times New Roman"/>
                      <w:sz w:val="18"/>
                      <w:szCs w:val="18"/>
                      <w:highlight w:val="none"/>
                    </w:rPr>
                  </w:pPr>
                </w:p>
              </w:tc>
              <w:tc>
                <w:tcPr>
                  <w:tcW w:w="574" w:type="dxa"/>
                  <w:vMerge w:val="continue"/>
                  <w:tcBorders>
                    <w:bottom w:val="single" w:color="auto" w:sz="8" w:space="0"/>
                  </w:tcBorders>
                  <w:noWrap w:val="0"/>
                  <w:vAlign w:val="center"/>
                </w:tcPr>
                <w:p w14:paraId="3056C0F0">
                  <w:pPr>
                    <w:autoSpaceDE w:val="0"/>
                    <w:autoSpaceDN w:val="0"/>
                    <w:jc w:val="center"/>
                    <w:rPr>
                      <w:rFonts w:hint="default" w:ascii="Times New Roman" w:hAnsi="Times New Roman" w:cs="Times New Roman"/>
                      <w:kern w:val="24"/>
                      <w:sz w:val="18"/>
                      <w:szCs w:val="18"/>
                      <w:highlight w:val="none"/>
                    </w:rPr>
                  </w:pPr>
                </w:p>
              </w:tc>
              <w:tc>
                <w:tcPr>
                  <w:tcW w:w="653" w:type="dxa"/>
                  <w:tcBorders>
                    <w:bottom w:val="single" w:color="auto" w:sz="8" w:space="0"/>
                  </w:tcBorders>
                  <w:noWrap w:val="0"/>
                  <w:vAlign w:val="center"/>
                </w:tcPr>
                <w:p w14:paraId="64027520">
                  <w:pPr>
                    <w:widowControl/>
                    <w:jc w:val="center"/>
                    <w:textAlignment w:val="center"/>
                    <w:rPr>
                      <w:rFonts w:hint="default" w:ascii="Times New Roman" w:hAnsi="Times New Roman" w:cs="Times New Roman"/>
                      <w:kern w:val="0"/>
                      <w:sz w:val="18"/>
                      <w:szCs w:val="18"/>
                      <w:highlight w:val="none"/>
                      <w:lang w:bidi="ar"/>
                    </w:rPr>
                  </w:pPr>
                  <w:r>
                    <w:rPr>
                      <w:rFonts w:hint="default" w:ascii="Times New Roman" w:hAnsi="Times New Roman" w:eastAsia="宋体" w:cs="Times New Roman"/>
                      <w:kern w:val="0"/>
                      <w:sz w:val="18"/>
                      <w:szCs w:val="18"/>
                      <w:highlight w:val="none"/>
                      <w:lang w:val="en-US" w:eastAsia="zh-CN" w:bidi="ar"/>
                    </w:rPr>
                    <w:t>1.36</w:t>
                  </w:r>
                </w:p>
              </w:tc>
              <w:tc>
                <w:tcPr>
                  <w:tcW w:w="714" w:type="dxa"/>
                  <w:tcBorders>
                    <w:bottom w:val="single" w:color="auto" w:sz="8" w:space="0"/>
                    <w:right w:val="nil"/>
                  </w:tcBorders>
                  <w:noWrap w:val="0"/>
                  <w:vAlign w:val="center"/>
                </w:tcPr>
                <w:p w14:paraId="2DC0DD31">
                  <w:pPr>
                    <w:autoSpaceDE w:val="0"/>
                    <w:autoSpaceDN w:val="0"/>
                    <w:jc w:val="center"/>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val="en-US" w:eastAsia="zh-CN"/>
                    </w:rPr>
                    <w:t>0.00017</w:t>
                  </w:r>
                </w:p>
              </w:tc>
            </w:tr>
            <w:tr w14:paraId="1D564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00" w:type="dxa"/>
                  <w:vMerge w:val="continue"/>
                  <w:tcBorders>
                    <w:top w:val="single" w:color="auto" w:sz="8" w:space="0"/>
                    <w:left w:val="nil"/>
                    <w:right w:val="single" w:color="auto" w:sz="4" w:space="0"/>
                  </w:tcBorders>
                  <w:noWrap w:val="0"/>
                  <w:vAlign w:val="center"/>
                </w:tcPr>
                <w:p w14:paraId="0AB5D381">
                  <w:pPr>
                    <w:autoSpaceDE w:val="0"/>
                    <w:autoSpaceDN w:val="0"/>
                    <w:jc w:val="center"/>
                    <w:rPr>
                      <w:rFonts w:hint="default" w:ascii="Times New Roman" w:hAnsi="Times New Roman" w:cs="Times New Roman"/>
                      <w:sz w:val="18"/>
                      <w:szCs w:val="18"/>
                      <w:highlight w:val="none"/>
                    </w:rPr>
                  </w:pPr>
                </w:p>
              </w:tc>
              <w:tc>
                <w:tcPr>
                  <w:tcW w:w="619" w:type="dxa"/>
                  <w:vMerge w:val="continue"/>
                  <w:tcBorders>
                    <w:top w:val="single" w:color="auto" w:sz="8" w:space="0"/>
                    <w:left w:val="single" w:color="auto" w:sz="4" w:space="0"/>
                    <w:right w:val="single" w:color="auto" w:sz="4" w:space="0"/>
                  </w:tcBorders>
                  <w:noWrap w:val="0"/>
                  <w:vAlign w:val="center"/>
                </w:tcPr>
                <w:p w14:paraId="59A19F36">
                  <w:pPr>
                    <w:autoSpaceDE w:val="0"/>
                    <w:autoSpaceDN w:val="0"/>
                    <w:jc w:val="center"/>
                    <w:rPr>
                      <w:rFonts w:hint="default" w:ascii="Times New Roman" w:hAnsi="Times New Roman" w:cs="Times New Roman"/>
                      <w:sz w:val="18"/>
                      <w:szCs w:val="18"/>
                      <w:highlight w:val="none"/>
                    </w:rPr>
                  </w:pPr>
                </w:p>
              </w:tc>
              <w:tc>
                <w:tcPr>
                  <w:tcW w:w="579" w:type="dxa"/>
                  <w:tcBorders>
                    <w:top w:val="single" w:color="auto" w:sz="8" w:space="0"/>
                  </w:tcBorders>
                  <w:noWrap w:val="0"/>
                  <w:vAlign w:val="center"/>
                </w:tcPr>
                <w:p w14:paraId="30E53DE4">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SS</w:t>
                  </w:r>
                </w:p>
              </w:tc>
              <w:tc>
                <w:tcPr>
                  <w:tcW w:w="459" w:type="dxa"/>
                  <w:vMerge w:val="continue"/>
                  <w:tcBorders>
                    <w:top w:val="single" w:color="auto" w:sz="8" w:space="0"/>
                  </w:tcBorders>
                  <w:noWrap w:val="0"/>
                  <w:vAlign w:val="center"/>
                </w:tcPr>
                <w:p w14:paraId="55E04B87">
                  <w:pPr>
                    <w:autoSpaceDE w:val="0"/>
                    <w:autoSpaceDN w:val="0"/>
                    <w:jc w:val="center"/>
                    <w:rPr>
                      <w:rFonts w:hint="default" w:ascii="Times New Roman" w:hAnsi="Times New Roman" w:cs="Times New Roman"/>
                      <w:sz w:val="18"/>
                      <w:szCs w:val="18"/>
                      <w:highlight w:val="none"/>
                    </w:rPr>
                  </w:pPr>
                </w:p>
              </w:tc>
              <w:tc>
                <w:tcPr>
                  <w:tcW w:w="550" w:type="dxa"/>
                  <w:vMerge w:val="continue"/>
                  <w:tcBorders>
                    <w:top w:val="single" w:color="auto" w:sz="8" w:space="0"/>
                    <w:left w:val="single" w:color="auto" w:sz="4" w:space="0"/>
                    <w:right w:val="single" w:color="auto" w:sz="4" w:space="0"/>
                  </w:tcBorders>
                  <w:noWrap w:val="0"/>
                  <w:vAlign w:val="center"/>
                </w:tcPr>
                <w:p w14:paraId="7350D715">
                  <w:pPr>
                    <w:autoSpaceDE w:val="0"/>
                    <w:autoSpaceDN w:val="0"/>
                    <w:jc w:val="center"/>
                    <w:rPr>
                      <w:rFonts w:hint="default" w:ascii="Times New Roman" w:hAnsi="Times New Roman" w:cs="Times New Roman"/>
                      <w:kern w:val="24"/>
                      <w:sz w:val="18"/>
                      <w:szCs w:val="18"/>
                      <w:highlight w:val="none"/>
                    </w:rPr>
                  </w:pPr>
                </w:p>
              </w:tc>
              <w:tc>
                <w:tcPr>
                  <w:tcW w:w="664" w:type="dxa"/>
                  <w:tcBorders>
                    <w:top w:val="single" w:color="auto" w:sz="8" w:space="0"/>
                  </w:tcBorders>
                  <w:noWrap w:val="0"/>
                  <w:vAlign w:val="center"/>
                </w:tcPr>
                <w:p w14:paraId="067B6856">
                  <w:pPr>
                    <w:widowControl/>
                    <w:jc w:val="center"/>
                    <w:textAlignment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eastAsia="宋体" w:cs="Times New Roman"/>
                      <w:kern w:val="0"/>
                      <w:sz w:val="18"/>
                      <w:szCs w:val="18"/>
                      <w:highlight w:val="none"/>
                      <w:lang w:val="en-US" w:eastAsia="zh-CN" w:bidi="ar"/>
                    </w:rPr>
                    <w:t>239</w:t>
                  </w:r>
                </w:p>
              </w:tc>
              <w:tc>
                <w:tcPr>
                  <w:tcW w:w="700" w:type="dxa"/>
                  <w:tcBorders>
                    <w:top w:val="single" w:color="auto" w:sz="8" w:space="0"/>
                  </w:tcBorders>
                  <w:noWrap w:val="0"/>
                  <w:vAlign w:val="center"/>
                </w:tcPr>
                <w:p w14:paraId="2CE252EB">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0.0297</w:t>
                  </w:r>
                </w:p>
              </w:tc>
              <w:tc>
                <w:tcPr>
                  <w:tcW w:w="1191" w:type="dxa"/>
                  <w:vMerge w:val="continue"/>
                  <w:tcBorders>
                    <w:left w:val="single" w:color="auto" w:sz="4" w:space="0"/>
                    <w:right w:val="single" w:color="auto" w:sz="4" w:space="0"/>
                  </w:tcBorders>
                  <w:noWrap w:val="0"/>
                  <w:vAlign w:val="center"/>
                </w:tcPr>
                <w:p w14:paraId="407C3F26">
                  <w:pPr>
                    <w:pStyle w:val="28"/>
                    <w:spacing w:line="240" w:lineRule="auto"/>
                    <w:rPr>
                      <w:rFonts w:hint="default" w:ascii="Times New Roman" w:hAnsi="Times New Roman" w:eastAsia="宋体" w:cs="Times New Roman"/>
                      <w:sz w:val="18"/>
                      <w:szCs w:val="18"/>
                      <w:highlight w:val="none"/>
                    </w:rPr>
                  </w:pPr>
                </w:p>
              </w:tc>
              <w:tc>
                <w:tcPr>
                  <w:tcW w:w="405" w:type="dxa"/>
                  <w:vMerge w:val="continue"/>
                  <w:tcBorders>
                    <w:top w:val="single" w:color="auto" w:sz="8" w:space="0"/>
                  </w:tcBorders>
                  <w:noWrap w:val="0"/>
                  <w:vAlign w:val="center"/>
                </w:tcPr>
                <w:p w14:paraId="2D8A3074">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top w:val="single" w:color="auto" w:sz="8" w:space="0"/>
                    <w:left w:val="single" w:color="auto" w:sz="4" w:space="0"/>
                    <w:right w:val="single" w:color="auto" w:sz="4" w:space="0"/>
                  </w:tcBorders>
                  <w:noWrap w:val="0"/>
                  <w:vAlign w:val="center"/>
                </w:tcPr>
                <w:p w14:paraId="60037ADC">
                  <w:pPr>
                    <w:autoSpaceDE w:val="0"/>
                    <w:autoSpaceDN w:val="0"/>
                    <w:jc w:val="center"/>
                    <w:rPr>
                      <w:rFonts w:hint="default" w:ascii="Times New Roman" w:hAnsi="Times New Roman" w:cs="Times New Roman"/>
                      <w:sz w:val="18"/>
                      <w:szCs w:val="18"/>
                      <w:highlight w:val="none"/>
                    </w:rPr>
                  </w:pPr>
                </w:p>
              </w:tc>
              <w:tc>
                <w:tcPr>
                  <w:tcW w:w="574" w:type="dxa"/>
                  <w:vMerge w:val="continue"/>
                  <w:tcBorders>
                    <w:top w:val="single" w:color="auto" w:sz="8" w:space="0"/>
                  </w:tcBorders>
                  <w:noWrap w:val="0"/>
                  <w:vAlign w:val="center"/>
                </w:tcPr>
                <w:p w14:paraId="7C14A5A9">
                  <w:pPr>
                    <w:autoSpaceDE w:val="0"/>
                    <w:autoSpaceDN w:val="0"/>
                    <w:jc w:val="center"/>
                    <w:rPr>
                      <w:rFonts w:hint="default" w:ascii="Times New Roman" w:hAnsi="Times New Roman" w:cs="Times New Roman"/>
                      <w:kern w:val="24"/>
                      <w:sz w:val="18"/>
                      <w:szCs w:val="18"/>
                      <w:highlight w:val="none"/>
                    </w:rPr>
                  </w:pPr>
                </w:p>
              </w:tc>
              <w:tc>
                <w:tcPr>
                  <w:tcW w:w="653" w:type="dxa"/>
                  <w:tcBorders>
                    <w:top w:val="single" w:color="auto" w:sz="8" w:space="0"/>
                  </w:tcBorders>
                  <w:noWrap w:val="0"/>
                  <w:vAlign w:val="center"/>
                </w:tcPr>
                <w:p w14:paraId="315A7C22">
                  <w:pPr>
                    <w:widowControl/>
                    <w:jc w:val="center"/>
                    <w:textAlignment w:val="center"/>
                    <w:rPr>
                      <w:rFonts w:hint="default" w:ascii="Times New Roman" w:hAnsi="Times New Roman" w:cs="Times New Roman"/>
                      <w:kern w:val="0"/>
                      <w:sz w:val="18"/>
                      <w:szCs w:val="18"/>
                      <w:highlight w:val="none"/>
                      <w:lang w:bidi="ar"/>
                    </w:rPr>
                  </w:pPr>
                  <w:r>
                    <w:rPr>
                      <w:rFonts w:hint="default" w:ascii="Times New Roman" w:hAnsi="Times New Roman" w:eastAsia="宋体" w:cs="Times New Roman"/>
                      <w:kern w:val="0"/>
                      <w:sz w:val="18"/>
                      <w:szCs w:val="18"/>
                      <w:highlight w:val="none"/>
                      <w:lang w:val="en-US" w:eastAsia="zh-CN" w:bidi="ar"/>
                    </w:rPr>
                    <w:t>239</w:t>
                  </w:r>
                </w:p>
              </w:tc>
              <w:tc>
                <w:tcPr>
                  <w:tcW w:w="714" w:type="dxa"/>
                  <w:tcBorders>
                    <w:top w:val="single" w:color="auto" w:sz="8" w:space="0"/>
                    <w:right w:val="nil"/>
                  </w:tcBorders>
                  <w:noWrap w:val="0"/>
                  <w:vAlign w:val="center"/>
                </w:tcPr>
                <w:p w14:paraId="5C9619B5">
                  <w:pPr>
                    <w:autoSpaceDE w:val="0"/>
                    <w:autoSpaceDN w:val="0"/>
                    <w:jc w:val="center"/>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val="en-US" w:eastAsia="zh-CN"/>
                    </w:rPr>
                    <w:t>0.0297</w:t>
                  </w:r>
                </w:p>
              </w:tc>
            </w:tr>
            <w:tr w14:paraId="05FB4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0" w:type="dxa"/>
                  <w:vMerge w:val="continue"/>
                  <w:tcBorders>
                    <w:left w:val="nil"/>
                    <w:right w:val="single" w:color="auto" w:sz="4" w:space="0"/>
                  </w:tcBorders>
                  <w:noWrap w:val="0"/>
                  <w:vAlign w:val="center"/>
                </w:tcPr>
                <w:p w14:paraId="596DFB7D">
                  <w:pPr>
                    <w:autoSpaceDE w:val="0"/>
                    <w:autoSpaceDN w:val="0"/>
                    <w:jc w:val="center"/>
                    <w:rPr>
                      <w:rFonts w:hint="default" w:ascii="Times New Roman" w:hAnsi="Times New Roman" w:cs="Times New Roman"/>
                      <w:sz w:val="18"/>
                      <w:szCs w:val="18"/>
                      <w:highlight w:val="none"/>
                    </w:rPr>
                  </w:pPr>
                </w:p>
              </w:tc>
              <w:tc>
                <w:tcPr>
                  <w:tcW w:w="619" w:type="dxa"/>
                  <w:vMerge w:val="continue"/>
                  <w:tcBorders>
                    <w:left w:val="single" w:color="auto" w:sz="4" w:space="0"/>
                    <w:right w:val="single" w:color="auto" w:sz="4" w:space="0"/>
                  </w:tcBorders>
                  <w:noWrap w:val="0"/>
                  <w:vAlign w:val="center"/>
                </w:tcPr>
                <w:p w14:paraId="5EDFE057">
                  <w:pPr>
                    <w:autoSpaceDE w:val="0"/>
                    <w:autoSpaceDN w:val="0"/>
                    <w:jc w:val="center"/>
                    <w:rPr>
                      <w:rFonts w:hint="default" w:ascii="Times New Roman" w:hAnsi="Times New Roman" w:cs="Times New Roman"/>
                      <w:sz w:val="18"/>
                      <w:szCs w:val="18"/>
                      <w:highlight w:val="none"/>
                    </w:rPr>
                  </w:pPr>
                </w:p>
              </w:tc>
              <w:tc>
                <w:tcPr>
                  <w:tcW w:w="579" w:type="dxa"/>
                  <w:noWrap w:val="0"/>
                  <w:vAlign w:val="center"/>
                </w:tcPr>
                <w:p w14:paraId="335A880F">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BOD</w:t>
                  </w:r>
                  <w:r>
                    <w:rPr>
                      <w:rFonts w:hint="default" w:ascii="Times New Roman" w:hAnsi="Times New Roman" w:cs="Times New Roman"/>
                      <w:sz w:val="18"/>
                      <w:szCs w:val="18"/>
                      <w:highlight w:val="none"/>
                      <w:vertAlign w:val="subscript"/>
                    </w:rPr>
                    <w:t>5</w:t>
                  </w:r>
                </w:p>
              </w:tc>
              <w:tc>
                <w:tcPr>
                  <w:tcW w:w="459" w:type="dxa"/>
                  <w:vMerge w:val="continue"/>
                  <w:noWrap w:val="0"/>
                  <w:vAlign w:val="center"/>
                </w:tcPr>
                <w:p w14:paraId="07F35190">
                  <w:pPr>
                    <w:autoSpaceDE w:val="0"/>
                    <w:autoSpaceDN w:val="0"/>
                    <w:jc w:val="center"/>
                    <w:rPr>
                      <w:rFonts w:hint="default" w:ascii="Times New Roman" w:hAnsi="Times New Roman" w:cs="Times New Roman"/>
                      <w:sz w:val="18"/>
                      <w:szCs w:val="18"/>
                      <w:highlight w:val="none"/>
                    </w:rPr>
                  </w:pPr>
                </w:p>
              </w:tc>
              <w:tc>
                <w:tcPr>
                  <w:tcW w:w="550" w:type="dxa"/>
                  <w:vMerge w:val="continue"/>
                  <w:tcBorders>
                    <w:left w:val="single" w:color="auto" w:sz="4" w:space="0"/>
                    <w:right w:val="single" w:color="auto" w:sz="4" w:space="0"/>
                  </w:tcBorders>
                  <w:noWrap w:val="0"/>
                  <w:vAlign w:val="center"/>
                </w:tcPr>
                <w:p w14:paraId="6733CAF2">
                  <w:pPr>
                    <w:autoSpaceDE w:val="0"/>
                    <w:autoSpaceDN w:val="0"/>
                    <w:jc w:val="center"/>
                    <w:rPr>
                      <w:rFonts w:hint="default" w:ascii="Times New Roman" w:hAnsi="Times New Roman" w:cs="Times New Roman"/>
                      <w:kern w:val="24"/>
                      <w:sz w:val="18"/>
                      <w:szCs w:val="18"/>
                      <w:highlight w:val="none"/>
                    </w:rPr>
                  </w:pPr>
                </w:p>
              </w:tc>
              <w:tc>
                <w:tcPr>
                  <w:tcW w:w="664" w:type="dxa"/>
                  <w:noWrap w:val="0"/>
                  <w:vAlign w:val="center"/>
                </w:tcPr>
                <w:p w14:paraId="6E231E88">
                  <w:pPr>
                    <w:widowControl/>
                    <w:jc w:val="center"/>
                    <w:textAlignment w:val="center"/>
                    <w:rPr>
                      <w:rFonts w:hint="default" w:ascii="Times New Roman" w:hAnsi="Times New Roman" w:eastAsia="宋体" w:cs="Times New Roman"/>
                      <w:kern w:val="0"/>
                      <w:sz w:val="18"/>
                      <w:szCs w:val="18"/>
                      <w:highlight w:val="none"/>
                      <w:lang w:val="en-US" w:eastAsia="zh-CN" w:bidi="ar"/>
                    </w:rPr>
                  </w:pPr>
                  <w:r>
                    <w:rPr>
                      <w:rFonts w:hint="default" w:ascii="Times New Roman" w:hAnsi="Times New Roman" w:eastAsia="宋体" w:cs="Times New Roman"/>
                      <w:kern w:val="0"/>
                      <w:sz w:val="18"/>
                      <w:szCs w:val="18"/>
                      <w:highlight w:val="none"/>
                      <w:lang w:val="en-US" w:eastAsia="zh-CN" w:bidi="ar"/>
                    </w:rPr>
                    <w:t>90.1</w:t>
                  </w:r>
                </w:p>
              </w:tc>
              <w:tc>
                <w:tcPr>
                  <w:tcW w:w="700" w:type="dxa"/>
                  <w:noWrap w:val="0"/>
                  <w:vAlign w:val="center"/>
                </w:tcPr>
                <w:p w14:paraId="494A276B">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0.011</w:t>
                  </w:r>
                </w:p>
              </w:tc>
              <w:tc>
                <w:tcPr>
                  <w:tcW w:w="1191" w:type="dxa"/>
                  <w:vMerge w:val="continue"/>
                  <w:tcBorders>
                    <w:left w:val="single" w:color="auto" w:sz="4" w:space="0"/>
                    <w:right w:val="single" w:color="auto" w:sz="4" w:space="0"/>
                  </w:tcBorders>
                  <w:noWrap w:val="0"/>
                  <w:vAlign w:val="center"/>
                </w:tcPr>
                <w:p w14:paraId="52379A50">
                  <w:pPr>
                    <w:pStyle w:val="28"/>
                    <w:spacing w:line="240" w:lineRule="auto"/>
                    <w:rPr>
                      <w:rFonts w:hint="default" w:ascii="Times New Roman" w:hAnsi="Times New Roman" w:eastAsia="宋体" w:cs="Times New Roman"/>
                      <w:sz w:val="18"/>
                      <w:szCs w:val="18"/>
                      <w:highlight w:val="none"/>
                    </w:rPr>
                  </w:pPr>
                </w:p>
              </w:tc>
              <w:tc>
                <w:tcPr>
                  <w:tcW w:w="405" w:type="dxa"/>
                  <w:vMerge w:val="continue"/>
                  <w:noWrap w:val="0"/>
                  <w:vAlign w:val="center"/>
                </w:tcPr>
                <w:p w14:paraId="204D4B11">
                  <w:pPr>
                    <w:pStyle w:val="29"/>
                    <w:adjustRightInd/>
                    <w:snapToGrid/>
                    <w:spacing w:line="240" w:lineRule="auto"/>
                    <w:ind w:firstLine="0" w:firstLineChars="0"/>
                    <w:jc w:val="center"/>
                    <w:rPr>
                      <w:rFonts w:hint="default" w:ascii="Times New Roman" w:hAnsi="Times New Roman" w:cs="Times New Roman"/>
                      <w:sz w:val="18"/>
                      <w:szCs w:val="18"/>
                      <w:highlight w:val="none"/>
                    </w:rPr>
                  </w:pPr>
                </w:p>
              </w:tc>
              <w:tc>
                <w:tcPr>
                  <w:tcW w:w="394" w:type="dxa"/>
                  <w:vMerge w:val="continue"/>
                  <w:tcBorders>
                    <w:left w:val="single" w:color="auto" w:sz="4" w:space="0"/>
                    <w:right w:val="single" w:color="auto" w:sz="4" w:space="0"/>
                  </w:tcBorders>
                  <w:noWrap w:val="0"/>
                  <w:vAlign w:val="center"/>
                </w:tcPr>
                <w:p w14:paraId="47B8ECE1">
                  <w:pPr>
                    <w:autoSpaceDE w:val="0"/>
                    <w:autoSpaceDN w:val="0"/>
                    <w:jc w:val="center"/>
                    <w:rPr>
                      <w:rFonts w:hint="default" w:ascii="Times New Roman" w:hAnsi="Times New Roman" w:cs="Times New Roman"/>
                      <w:sz w:val="18"/>
                      <w:szCs w:val="18"/>
                      <w:highlight w:val="none"/>
                    </w:rPr>
                  </w:pPr>
                </w:p>
              </w:tc>
              <w:tc>
                <w:tcPr>
                  <w:tcW w:w="574" w:type="dxa"/>
                  <w:vMerge w:val="continue"/>
                  <w:noWrap w:val="0"/>
                  <w:vAlign w:val="center"/>
                </w:tcPr>
                <w:p w14:paraId="2C744344">
                  <w:pPr>
                    <w:autoSpaceDE w:val="0"/>
                    <w:autoSpaceDN w:val="0"/>
                    <w:jc w:val="center"/>
                    <w:rPr>
                      <w:rFonts w:hint="default" w:ascii="Times New Roman" w:hAnsi="Times New Roman" w:cs="Times New Roman"/>
                      <w:kern w:val="24"/>
                      <w:sz w:val="18"/>
                      <w:szCs w:val="18"/>
                      <w:highlight w:val="none"/>
                    </w:rPr>
                  </w:pPr>
                </w:p>
              </w:tc>
              <w:tc>
                <w:tcPr>
                  <w:tcW w:w="653" w:type="dxa"/>
                  <w:noWrap w:val="0"/>
                  <w:vAlign w:val="center"/>
                </w:tcPr>
                <w:p w14:paraId="1045B8F3">
                  <w:pPr>
                    <w:widowControl/>
                    <w:jc w:val="center"/>
                    <w:textAlignment w:val="center"/>
                    <w:rPr>
                      <w:rFonts w:hint="default" w:ascii="Times New Roman" w:hAnsi="Times New Roman" w:cs="Times New Roman"/>
                      <w:kern w:val="0"/>
                      <w:sz w:val="18"/>
                      <w:szCs w:val="18"/>
                      <w:highlight w:val="none"/>
                      <w:lang w:bidi="ar"/>
                    </w:rPr>
                  </w:pPr>
                  <w:r>
                    <w:rPr>
                      <w:rFonts w:hint="default" w:ascii="Times New Roman" w:hAnsi="Times New Roman" w:eastAsia="宋体" w:cs="Times New Roman"/>
                      <w:kern w:val="0"/>
                      <w:sz w:val="18"/>
                      <w:szCs w:val="18"/>
                      <w:highlight w:val="none"/>
                      <w:lang w:val="en-US" w:eastAsia="zh-CN" w:bidi="ar"/>
                    </w:rPr>
                    <w:t>90.1</w:t>
                  </w:r>
                </w:p>
              </w:tc>
              <w:tc>
                <w:tcPr>
                  <w:tcW w:w="714" w:type="dxa"/>
                  <w:tcBorders>
                    <w:right w:val="nil"/>
                  </w:tcBorders>
                  <w:noWrap w:val="0"/>
                  <w:vAlign w:val="center"/>
                </w:tcPr>
                <w:p w14:paraId="7B15A2C7">
                  <w:pPr>
                    <w:autoSpaceDE w:val="0"/>
                    <w:autoSpaceDN w:val="0"/>
                    <w:jc w:val="center"/>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val="en-US" w:eastAsia="zh-CN"/>
                    </w:rPr>
                    <w:t>0.011</w:t>
                  </w:r>
                </w:p>
              </w:tc>
            </w:tr>
          </w:tbl>
          <w:p w14:paraId="6567D313">
            <w:pPr>
              <w:adjustRightInd w:val="0"/>
              <w:snapToGrid w:val="0"/>
              <w:rPr>
                <w:rFonts w:hint="default" w:ascii="Times New Roman" w:hAnsi="Times New Roman" w:cs="Times New Roman"/>
                <w:bCs/>
                <w:color w:val="auto"/>
                <w:spacing w:val="-10"/>
                <w:szCs w:val="21"/>
                <w:highlight w:val="none"/>
              </w:rPr>
            </w:pPr>
          </w:p>
          <w:p w14:paraId="5AD6E874">
            <w:pPr>
              <w:adjustRightInd w:val="0"/>
              <w:snapToGrid w:val="0"/>
              <w:spacing w:line="360" w:lineRule="auto"/>
              <w:ind w:firstLine="420" w:firstLineChars="200"/>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（3）依托可行性分析</w:t>
            </w:r>
          </w:p>
          <w:p w14:paraId="19228A1A">
            <w:pPr>
              <w:adjustRightInd w:val="0"/>
              <w:snapToGrid w:val="0"/>
              <w:spacing w:line="360" w:lineRule="auto"/>
              <w:ind w:firstLine="420" w:firstLineChars="200"/>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本项目建成后年产生产废水124.16t/d，每五天产生废水15.52                                                                                                                                                                                                                                                                                    t，排入16m</w:t>
            </w:r>
            <w:r>
              <w:rPr>
                <w:rFonts w:hint="default" w:ascii="Times New Roman" w:hAnsi="Times New Roman" w:cs="Times New Roman"/>
                <w:bCs/>
                <w:color w:val="auto"/>
                <w:szCs w:val="21"/>
                <w:highlight w:val="none"/>
                <w:vertAlign w:val="superscript"/>
                <w:lang w:val="en-US" w:eastAsia="zh-CN"/>
              </w:rPr>
              <w:t>3</w:t>
            </w:r>
            <w:r>
              <w:rPr>
                <w:rFonts w:hint="default" w:ascii="Times New Roman" w:hAnsi="Times New Roman" w:cs="Times New Roman"/>
                <w:bCs/>
                <w:color w:val="auto"/>
                <w:szCs w:val="21"/>
                <w:highlight w:val="none"/>
                <w:lang w:val="en-US" w:eastAsia="zh-CN"/>
              </w:rPr>
              <w:t>防渗储池，每五天拉运至污水处理厂一次。</w:t>
            </w:r>
          </w:p>
          <w:p w14:paraId="4C0372DE">
            <w:pPr>
              <w:adjustRightInd w:val="0"/>
              <w:snapToGrid w:val="0"/>
              <w:spacing w:line="360" w:lineRule="auto"/>
              <w:ind w:firstLine="420" w:firstLineChars="200"/>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连丰乡污水处理厂建筑面积222.01平方米，日处理量50吨，</w:t>
            </w:r>
            <w:r>
              <w:rPr>
                <w:rFonts w:hint="default" w:ascii="Times New Roman" w:hAnsi="Times New Roman" w:cs="Times New Roman"/>
                <w:bCs/>
                <w:color w:val="auto"/>
                <w:szCs w:val="21"/>
                <w:highlight w:val="none"/>
                <w:lang w:val="en-US" w:eastAsia="zh-CN"/>
              </w:rPr>
              <w:t>现有处理余量为45吨</w:t>
            </w:r>
            <w:r>
              <w:rPr>
                <w:rFonts w:hint="default" w:ascii="Times New Roman" w:hAnsi="Times New Roman" w:cs="Times New Roman"/>
                <w:bCs/>
                <w:color w:val="auto"/>
                <w:szCs w:val="21"/>
                <w:highlight w:val="none"/>
                <w:lang w:val="en-US" w:eastAsia="zh-CN"/>
              </w:rPr>
              <w:t>，配套管网7.65公里，本项目污水日排放量为3.10m</w:t>
            </w:r>
            <w:r>
              <w:rPr>
                <w:rFonts w:hint="default" w:ascii="Times New Roman" w:hAnsi="Times New Roman" w:cs="Times New Roman"/>
                <w:bCs/>
                <w:color w:val="auto"/>
                <w:szCs w:val="21"/>
                <w:highlight w:val="none"/>
                <w:vertAlign w:val="superscript"/>
                <w:lang w:val="en-US" w:eastAsia="zh-CN"/>
              </w:rPr>
              <w:t>3</w:t>
            </w:r>
            <w:r>
              <w:rPr>
                <w:rFonts w:hint="default" w:ascii="Times New Roman" w:hAnsi="Times New Roman" w:cs="Times New Roman"/>
                <w:bCs/>
                <w:color w:val="auto"/>
                <w:szCs w:val="21"/>
                <w:highlight w:val="none"/>
                <w:lang w:val="en-US" w:eastAsia="zh-CN"/>
              </w:rPr>
              <w:t>，小于污水处理厂日处理规模，因此本项目污水进入连丰乡污水处理厂可行。</w:t>
            </w:r>
          </w:p>
          <w:p w14:paraId="79B72CC0">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4</w:t>
            </w:r>
            <w:r>
              <w:rPr>
                <w:rFonts w:hint="default" w:ascii="Times New Roman" w:hAnsi="Times New Roman" w:cs="Times New Roman"/>
                <w:bCs/>
                <w:color w:val="auto"/>
                <w:szCs w:val="21"/>
                <w:highlight w:val="none"/>
              </w:rPr>
              <w:t>）环境影响分析</w:t>
            </w:r>
          </w:p>
          <w:p w14:paraId="425B337D">
            <w:pPr>
              <w:adjustRightInd w:val="0"/>
              <w:snapToGrid w:val="0"/>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本项目</w:t>
            </w:r>
            <w:r>
              <w:rPr>
                <w:rFonts w:hint="default" w:ascii="Times New Roman" w:hAnsi="Times New Roman" w:cs="Times New Roman"/>
                <w:bCs/>
                <w:color w:val="auto"/>
                <w:szCs w:val="21"/>
                <w:highlight w:val="none"/>
                <w:lang w:eastAsia="zh-CN"/>
              </w:rPr>
              <w:t>锅炉排污水用于</w:t>
            </w:r>
            <w:r>
              <w:rPr>
                <w:rFonts w:hint="default" w:ascii="Times New Roman" w:hAnsi="Times New Roman" w:cs="Times New Roman"/>
                <w:bCs/>
                <w:color w:val="auto"/>
                <w:szCs w:val="21"/>
                <w:highlight w:val="none"/>
                <w:lang w:eastAsia="zh-CN"/>
              </w:rPr>
              <w:t>灰渣、厂区内洒水降尘及厂区绿化</w:t>
            </w:r>
            <w:r>
              <w:rPr>
                <w:rFonts w:hint="default" w:ascii="Times New Roman" w:hAnsi="Times New Roman" w:cs="Times New Roman"/>
                <w:bCs/>
                <w:color w:val="auto"/>
                <w:szCs w:val="21"/>
                <w:highlight w:val="none"/>
                <w:lang w:eastAsia="zh-CN"/>
              </w:rPr>
              <w:t>，不外排</w:t>
            </w:r>
            <w:r>
              <w:rPr>
                <w:rFonts w:hint="default" w:ascii="Times New Roman" w:hAnsi="Times New Roman" w:cs="Times New Roman"/>
                <w:bCs/>
                <w:color w:val="auto"/>
                <w:szCs w:val="21"/>
                <w:highlight w:val="none"/>
              </w:rPr>
              <w:t>。对周围地表水环境影响较小。</w:t>
            </w:r>
          </w:p>
          <w:p w14:paraId="35972AB6">
            <w:pPr>
              <w:adjustRightInd w:val="0"/>
              <w:snapToGrid w:val="0"/>
              <w:spacing w:line="360" w:lineRule="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3、噪声</w:t>
            </w:r>
          </w:p>
          <w:p w14:paraId="6D45BBB8">
            <w:pPr>
              <w:adjustRightInd w:val="0"/>
              <w:snapToGrid w:val="0"/>
              <w:spacing w:line="360" w:lineRule="auto"/>
              <w:ind w:firstLine="420" w:firstLineChars="200"/>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rPr>
              <w:t>（1）噪声污染源源强核算结果及相关参数见表4-8。</w:t>
            </w:r>
            <w:r>
              <w:rPr>
                <w:rFonts w:hint="default" w:ascii="Times New Roman" w:hAnsi="Times New Roman" w:cs="Times New Roman"/>
                <w:bCs/>
                <w:color w:val="auto"/>
                <w:szCs w:val="21"/>
                <w:highlight w:val="none"/>
                <w:lang w:val="en-US" w:eastAsia="zh-CN"/>
              </w:rPr>
              <w:t xml:space="preserve"> </w:t>
            </w:r>
          </w:p>
          <w:p w14:paraId="2109C99B">
            <w:pPr>
              <w:pStyle w:val="28"/>
              <w:spacing w:line="240" w:lineRule="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表4-8噪声污染源源强核算结果</w:t>
            </w:r>
            <w:r>
              <w:rPr>
                <w:rFonts w:hint="default" w:ascii="Times New Roman" w:hAnsi="Times New Roman" w:eastAsia="宋体" w:cs="Times New Roman"/>
                <w:b/>
                <w:bCs/>
                <w:color w:val="auto"/>
                <w:kern w:val="2"/>
                <w:sz w:val="21"/>
                <w:szCs w:val="21"/>
                <w:highlight w:val="none"/>
                <w:lang w:val="en-US" w:eastAsia="zh-CN" w:bidi="ar-SA"/>
              </w:rPr>
              <w:t>及相关参数一览表（室内声源）</w:t>
            </w:r>
          </w:p>
          <w:tbl>
            <w:tblPr>
              <w:tblStyle w:val="13"/>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1"/>
              <w:gridCol w:w="694"/>
              <w:gridCol w:w="621"/>
              <w:gridCol w:w="462"/>
              <w:gridCol w:w="361"/>
              <w:gridCol w:w="394"/>
              <w:gridCol w:w="328"/>
              <w:gridCol w:w="332"/>
              <w:gridCol w:w="491"/>
              <w:gridCol w:w="737"/>
              <w:gridCol w:w="751"/>
              <w:gridCol w:w="751"/>
              <w:gridCol w:w="506"/>
              <w:gridCol w:w="520"/>
              <w:gridCol w:w="567"/>
            </w:tblGrid>
            <w:tr w14:paraId="5112D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5" w:type="pct"/>
                  <w:vMerge w:val="restart"/>
                  <w:noWrap w:val="0"/>
                  <w:vAlign w:val="center"/>
                </w:tcPr>
                <w:p w14:paraId="4626B66B">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437" w:type="pct"/>
                  <w:vMerge w:val="restart"/>
                  <w:noWrap w:val="0"/>
                  <w:vAlign w:val="center"/>
                </w:tcPr>
                <w:p w14:paraId="131D3418">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建筑物名称</w:t>
                  </w:r>
                </w:p>
              </w:tc>
              <w:tc>
                <w:tcPr>
                  <w:tcW w:w="391" w:type="pct"/>
                  <w:vMerge w:val="restart"/>
                  <w:noWrap w:val="0"/>
                  <w:vAlign w:val="center"/>
                </w:tcPr>
                <w:p w14:paraId="03DECD42">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声源名称</w:t>
                  </w:r>
                </w:p>
              </w:tc>
              <w:tc>
                <w:tcPr>
                  <w:tcW w:w="291" w:type="pct"/>
                  <w:vMerge w:val="restart"/>
                  <w:noWrap w:val="0"/>
                  <w:vAlign w:val="center"/>
                </w:tcPr>
                <w:p w14:paraId="0340FAE3">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声源源强/dB(A)</w:t>
                  </w:r>
                </w:p>
              </w:tc>
              <w:tc>
                <w:tcPr>
                  <w:tcW w:w="227" w:type="pct"/>
                  <w:vMerge w:val="restart"/>
                  <w:noWrap w:val="0"/>
                  <w:vAlign w:val="center"/>
                </w:tcPr>
                <w:p w14:paraId="446D615E">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降噪措施</w:t>
                  </w:r>
                </w:p>
              </w:tc>
              <w:tc>
                <w:tcPr>
                  <w:tcW w:w="664" w:type="pct"/>
                  <w:gridSpan w:val="3"/>
                  <w:noWrap w:val="0"/>
                  <w:vAlign w:val="center"/>
                </w:tcPr>
                <w:p w14:paraId="1C9011F9">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空间相对位置/m</w:t>
                  </w:r>
                </w:p>
              </w:tc>
              <w:tc>
                <w:tcPr>
                  <w:tcW w:w="309" w:type="pct"/>
                  <w:vMerge w:val="restart"/>
                  <w:noWrap w:val="0"/>
                  <w:vAlign w:val="center"/>
                </w:tcPr>
                <w:p w14:paraId="48088ED1">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距室内边界距离/m</w:t>
                  </w:r>
                </w:p>
              </w:tc>
              <w:tc>
                <w:tcPr>
                  <w:tcW w:w="464" w:type="pct"/>
                  <w:vMerge w:val="restart"/>
                  <w:noWrap w:val="0"/>
                  <w:vAlign w:val="center"/>
                </w:tcPr>
                <w:p w14:paraId="4E2492EE">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室内边界声级/dB(A)</w:t>
                  </w:r>
                </w:p>
              </w:tc>
              <w:tc>
                <w:tcPr>
                  <w:tcW w:w="473" w:type="pct"/>
                  <w:vMerge w:val="restart"/>
                  <w:noWrap w:val="0"/>
                  <w:vAlign w:val="center"/>
                </w:tcPr>
                <w:p w14:paraId="6E2EA5C2">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运行时段</w:t>
                  </w:r>
                </w:p>
              </w:tc>
              <w:tc>
                <w:tcPr>
                  <w:tcW w:w="473" w:type="pct"/>
                  <w:vMerge w:val="restart"/>
                  <w:noWrap w:val="0"/>
                  <w:vAlign w:val="center"/>
                </w:tcPr>
                <w:p w14:paraId="14A0CD06">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建筑物插入损失/dB(A)</w:t>
                  </w:r>
                </w:p>
              </w:tc>
              <w:tc>
                <w:tcPr>
                  <w:tcW w:w="646" w:type="pct"/>
                  <w:gridSpan w:val="2"/>
                  <w:noWrap w:val="0"/>
                  <w:vAlign w:val="center"/>
                </w:tcPr>
                <w:p w14:paraId="22F8B4AB">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建筑物外噪声</w:t>
                  </w:r>
                </w:p>
              </w:tc>
              <w:tc>
                <w:tcPr>
                  <w:tcW w:w="357" w:type="pct"/>
                  <w:vMerge w:val="restart"/>
                  <w:noWrap w:val="0"/>
                  <w:vAlign w:val="center"/>
                </w:tcPr>
                <w:p w14:paraId="635B1B1A">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持续时间</w:t>
                  </w:r>
                  <w:r>
                    <w:rPr>
                      <w:rFonts w:hint="default" w:ascii="Times New Roman" w:hAnsi="Times New Roman" w:cs="Times New Roman"/>
                      <w:color w:val="auto"/>
                      <w:szCs w:val="21"/>
                      <w:highlight w:val="none"/>
                      <w:lang w:val="en-US" w:eastAsia="zh-CN"/>
                    </w:rPr>
                    <w:t>/h</w:t>
                  </w:r>
                </w:p>
              </w:tc>
            </w:tr>
            <w:tr w14:paraId="3F43F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5" w:type="pct"/>
                  <w:vMerge w:val="continue"/>
                  <w:noWrap w:val="0"/>
                  <w:vAlign w:val="center"/>
                </w:tcPr>
                <w:p w14:paraId="61A799D0">
                  <w:pPr>
                    <w:spacing w:line="0" w:lineRule="atLeast"/>
                    <w:jc w:val="center"/>
                    <w:rPr>
                      <w:rFonts w:hint="default" w:ascii="Times New Roman" w:hAnsi="Times New Roman" w:cs="Times New Roman"/>
                      <w:color w:val="auto"/>
                      <w:szCs w:val="21"/>
                      <w:highlight w:val="none"/>
                    </w:rPr>
                  </w:pPr>
                </w:p>
              </w:tc>
              <w:tc>
                <w:tcPr>
                  <w:tcW w:w="437" w:type="pct"/>
                  <w:vMerge w:val="continue"/>
                  <w:noWrap w:val="0"/>
                  <w:vAlign w:val="center"/>
                </w:tcPr>
                <w:p w14:paraId="5BC7C1A6">
                  <w:pPr>
                    <w:spacing w:line="0" w:lineRule="atLeast"/>
                    <w:jc w:val="center"/>
                    <w:rPr>
                      <w:rFonts w:hint="default" w:ascii="Times New Roman" w:hAnsi="Times New Roman" w:cs="Times New Roman"/>
                      <w:color w:val="auto"/>
                      <w:szCs w:val="21"/>
                      <w:highlight w:val="none"/>
                    </w:rPr>
                  </w:pPr>
                </w:p>
              </w:tc>
              <w:tc>
                <w:tcPr>
                  <w:tcW w:w="391" w:type="pct"/>
                  <w:vMerge w:val="continue"/>
                  <w:noWrap w:val="0"/>
                  <w:vAlign w:val="center"/>
                </w:tcPr>
                <w:p w14:paraId="72527C9F">
                  <w:pPr>
                    <w:spacing w:line="0" w:lineRule="atLeast"/>
                    <w:jc w:val="center"/>
                    <w:rPr>
                      <w:rFonts w:hint="default" w:ascii="Times New Roman" w:hAnsi="Times New Roman" w:cs="Times New Roman"/>
                      <w:color w:val="auto"/>
                      <w:szCs w:val="21"/>
                      <w:highlight w:val="none"/>
                    </w:rPr>
                  </w:pPr>
                </w:p>
              </w:tc>
              <w:tc>
                <w:tcPr>
                  <w:tcW w:w="291" w:type="pct"/>
                  <w:vMerge w:val="continue"/>
                  <w:noWrap w:val="0"/>
                  <w:vAlign w:val="center"/>
                </w:tcPr>
                <w:p w14:paraId="12DF95CA">
                  <w:pPr>
                    <w:spacing w:line="0" w:lineRule="atLeast"/>
                    <w:jc w:val="center"/>
                    <w:rPr>
                      <w:rFonts w:hint="default" w:ascii="Times New Roman" w:hAnsi="Times New Roman" w:cs="Times New Roman"/>
                      <w:color w:val="auto"/>
                      <w:szCs w:val="21"/>
                      <w:highlight w:val="none"/>
                    </w:rPr>
                  </w:pPr>
                </w:p>
              </w:tc>
              <w:tc>
                <w:tcPr>
                  <w:tcW w:w="227" w:type="pct"/>
                  <w:vMerge w:val="continue"/>
                  <w:noWrap w:val="0"/>
                  <w:vAlign w:val="center"/>
                </w:tcPr>
                <w:p w14:paraId="29EF4F32">
                  <w:pPr>
                    <w:spacing w:line="0" w:lineRule="atLeast"/>
                    <w:jc w:val="center"/>
                    <w:rPr>
                      <w:rFonts w:hint="default" w:ascii="Times New Roman" w:hAnsi="Times New Roman" w:cs="Times New Roman"/>
                      <w:color w:val="auto"/>
                      <w:szCs w:val="21"/>
                      <w:highlight w:val="none"/>
                    </w:rPr>
                  </w:pPr>
                </w:p>
              </w:tc>
              <w:tc>
                <w:tcPr>
                  <w:tcW w:w="248" w:type="pct"/>
                  <w:noWrap w:val="0"/>
                  <w:vAlign w:val="center"/>
                </w:tcPr>
                <w:p w14:paraId="4F6BE4FB">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X</w:t>
                  </w:r>
                </w:p>
              </w:tc>
              <w:tc>
                <w:tcPr>
                  <w:tcW w:w="206" w:type="pct"/>
                  <w:noWrap w:val="0"/>
                  <w:vAlign w:val="center"/>
                </w:tcPr>
                <w:p w14:paraId="06DA1B5A">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Y</w:t>
                  </w:r>
                </w:p>
              </w:tc>
              <w:tc>
                <w:tcPr>
                  <w:tcW w:w="209" w:type="pct"/>
                  <w:noWrap w:val="0"/>
                  <w:vAlign w:val="center"/>
                </w:tcPr>
                <w:p w14:paraId="79158FEC">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Z</w:t>
                  </w:r>
                </w:p>
              </w:tc>
              <w:tc>
                <w:tcPr>
                  <w:tcW w:w="309" w:type="pct"/>
                  <w:vMerge w:val="continue"/>
                  <w:noWrap w:val="0"/>
                  <w:vAlign w:val="center"/>
                </w:tcPr>
                <w:p w14:paraId="7B509B0E">
                  <w:pPr>
                    <w:spacing w:line="0" w:lineRule="atLeast"/>
                    <w:jc w:val="center"/>
                    <w:rPr>
                      <w:rFonts w:hint="default" w:ascii="Times New Roman" w:hAnsi="Times New Roman" w:cs="Times New Roman"/>
                      <w:color w:val="auto"/>
                      <w:szCs w:val="21"/>
                      <w:highlight w:val="none"/>
                    </w:rPr>
                  </w:pPr>
                </w:p>
              </w:tc>
              <w:tc>
                <w:tcPr>
                  <w:tcW w:w="464" w:type="pct"/>
                  <w:vMerge w:val="continue"/>
                  <w:noWrap w:val="0"/>
                  <w:vAlign w:val="center"/>
                </w:tcPr>
                <w:p w14:paraId="01F00347">
                  <w:pPr>
                    <w:spacing w:line="0" w:lineRule="atLeast"/>
                    <w:jc w:val="center"/>
                    <w:rPr>
                      <w:rFonts w:hint="default" w:ascii="Times New Roman" w:hAnsi="Times New Roman" w:cs="Times New Roman"/>
                      <w:color w:val="auto"/>
                      <w:szCs w:val="21"/>
                      <w:highlight w:val="none"/>
                    </w:rPr>
                  </w:pPr>
                </w:p>
              </w:tc>
              <w:tc>
                <w:tcPr>
                  <w:tcW w:w="473" w:type="pct"/>
                  <w:vMerge w:val="continue"/>
                  <w:noWrap w:val="0"/>
                  <w:vAlign w:val="center"/>
                </w:tcPr>
                <w:p w14:paraId="7C1D103E">
                  <w:pPr>
                    <w:spacing w:line="0" w:lineRule="atLeast"/>
                    <w:jc w:val="center"/>
                    <w:rPr>
                      <w:rFonts w:hint="default" w:ascii="Times New Roman" w:hAnsi="Times New Roman" w:cs="Times New Roman"/>
                      <w:color w:val="auto"/>
                      <w:szCs w:val="21"/>
                      <w:highlight w:val="none"/>
                    </w:rPr>
                  </w:pPr>
                </w:p>
              </w:tc>
              <w:tc>
                <w:tcPr>
                  <w:tcW w:w="473" w:type="pct"/>
                  <w:vMerge w:val="continue"/>
                  <w:noWrap w:val="0"/>
                  <w:vAlign w:val="center"/>
                </w:tcPr>
                <w:p w14:paraId="553687A8">
                  <w:pPr>
                    <w:spacing w:line="0" w:lineRule="atLeast"/>
                    <w:jc w:val="center"/>
                    <w:rPr>
                      <w:rFonts w:hint="default" w:ascii="Times New Roman" w:hAnsi="Times New Roman" w:cs="Times New Roman"/>
                      <w:color w:val="auto"/>
                      <w:szCs w:val="21"/>
                      <w:highlight w:val="none"/>
                    </w:rPr>
                  </w:pPr>
                </w:p>
              </w:tc>
              <w:tc>
                <w:tcPr>
                  <w:tcW w:w="318" w:type="pct"/>
                  <w:noWrap w:val="0"/>
                  <w:vAlign w:val="center"/>
                </w:tcPr>
                <w:p w14:paraId="77FD4D3C">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声压级/dB(A)</w:t>
                  </w:r>
                </w:p>
              </w:tc>
              <w:tc>
                <w:tcPr>
                  <w:tcW w:w="327" w:type="pct"/>
                  <w:noWrap w:val="0"/>
                  <w:vAlign w:val="center"/>
                </w:tcPr>
                <w:p w14:paraId="7925D5C4">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建筑物外距离</w:t>
                  </w:r>
                </w:p>
              </w:tc>
              <w:tc>
                <w:tcPr>
                  <w:tcW w:w="357" w:type="pct"/>
                  <w:vMerge w:val="continue"/>
                  <w:noWrap w:val="0"/>
                  <w:vAlign w:val="center"/>
                </w:tcPr>
                <w:p w14:paraId="4F5925C4">
                  <w:pPr>
                    <w:spacing w:line="0" w:lineRule="atLeast"/>
                    <w:jc w:val="center"/>
                    <w:rPr>
                      <w:rFonts w:hint="default" w:ascii="Times New Roman" w:hAnsi="Times New Roman" w:cs="Times New Roman"/>
                      <w:color w:val="auto"/>
                      <w:szCs w:val="21"/>
                      <w:highlight w:val="none"/>
                    </w:rPr>
                  </w:pPr>
                </w:p>
              </w:tc>
            </w:tr>
            <w:tr w14:paraId="332A4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63" w:hRule="atLeast"/>
                <w:jc w:val="center"/>
              </w:trPr>
              <w:tc>
                <w:tcPr>
                  <w:tcW w:w="265" w:type="pct"/>
                  <w:noWrap w:val="0"/>
                  <w:vAlign w:val="center"/>
                </w:tcPr>
                <w:p w14:paraId="4322466E">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37" w:type="pct"/>
                  <w:noWrap w:val="0"/>
                  <w:vAlign w:val="center"/>
                </w:tcPr>
                <w:p w14:paraId="2B6F5955">
                  <w:pPr>
                    <w:contextualSpacing/>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加工车间</w:t>
                  </w:r>
                </w:p>
              </w:tc>
              <w:tc>
                <w:tcPr>
                  <w:tcW w:w="391" w:type="pct"/>
                  <w:noWrap w:val="0"/>
                  <w:vAlign w:val="center"/>
                </w:tcPr>
                <w:p w14:paraId="6C717A8C">
                  <w:pPr>
                    <w:contextualSpacing/>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蒸发式冷凝器</w:t>
                  </w:r>
                </w:p>
              </w:tc>
              <w:tc>
                <w:tcPr>
                  <w:tcW w:w="291" w:type="pct"/>
                  <w:noWrap w:val="0"/>
                  <w:vAlign w:val="center"/>
                </w:tcPr>
                <w:p w14:paraId="3FF66E39">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75</w:t>
                  </w:r>
                </w:p>
              </w:tc>
              <w:tc>
                <w:tcPr>
                  <w:tcW w:w="227" w:type="pct"/>
                  <w:vMerge w:val="restart"/>
                  <w:noWrap w:val="0"/>
                  <w:vAlign w:val="center"/>
                </w:tcPr>
                <w:p w14:paraId="6FC5BBE9">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highlight w:val="none"/>
                    </w:rPr>
                    <w:t>采用低噪声设备、厂房隔声、基础减振，夜间不生产等措施</w:t>
                  </w:r>
                </w:p>
              </w:tc>
              <w:tc>
                <w:tcPr>
                  <w:tcW w:w="248" w:type="pct"/>
                  <w:noWrap w:val="0"/>
                  <w:vAlign w:val="center"/>
                </w:tcPr>
                <w:p w14:paraId="448E903C">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p>
              </w:tc>
              <w:tc>
                <w:tcPr>
                  <w:tcW w:w="206" w:type="pct"/>
                  <w:noWrap w:val="0"/>
                  <w:vAlign w:val="center"/>
                </w:tcPr>
                <w:p w14:paraId="18CF884C">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w:t>
                  </w:r>
                </w:p>
              </w:tc>
              <w:tc>
                <w:tcPr>
                  <w:tcW w:w="209" w:type="pct"/>
                  <w:noWrap w:val="0"/>
                  <w:vAlign w:val="center"/>
                </w:tcPr>
                <w:p w14:paraId="10F03AC5">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w:t>
                  </w:r>
                </w:p>
              </w:tc>
              <w:tc>
                <w:tcPr>
                  <w:tcW w:w="309" w:type="pct"/>
                  <w:noWrap w:val="0"/>
                  <w:vAlign w:val="center"/>
                </w:tcPr>
                <w:p w14:paraId="61715190">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464" w:type="pct"/>
                  <w:noWrap w:val="0"/>
                  <w:vAlign w:val="center"/>
                </w:tcPr>
                <w:p w14:paraId="0CFA49C5">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69</w:t>
                  </w:r>
                </w:p>
              </w:tc>
              <w:tc>
                <w:tcPr>
                  <w:tcW w:w="473" w:type="pct"/>
                  <w:noWrap w:val="0"/>
                  <w:vAlign w:val="center"/>
                </w:tcPr>
                <w:p w14:paraId="59CBA1EB">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73" w:type="pct"/>
                  <w:noWrap w:val="0"/>
                  <w:vAlign w:val="center"/>
                </w:tcPr>
                <w:p w14:paraId="00FAF25D">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318" w:type="pct"/>
                  <w:noWrap w:val="0"/>
                  <w:vAlign w:val="center"/>
                </w:tcPr>
                <w:p w14:paraId="442C2951">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49</w:t>
                  </w:r>
                </w:p>
              </w:tc>
              <w:tc>
                <w:tcPr>
                  <w:tcW w:w="327" w:type="pct"/>
                  <w:noWrap w:val="0"/>
                  <w:vAlign w:val="center"/>
                </w:tcPr>
                <w:p w14:paraId="4A9020C0">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1m</w:t>
                  </w:r>
                </w:p>
              </w:tc>
              <w:tc>
                <w:tcPr>
                  <w:tcW w:w="357" w:type="pct"/>
                  <w:noWrap w:val="0"/>
                  <w:vAlign w:val="center"/>
                </w:tcPr>
                <w:p w14:paraId="67624E9E">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300</w:t>
                  </w:r>
                </w:p>
              </w:tc>
            </w:tr>
            <w:tr w14:paraId="3C050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8" w:hRule="atLeast"/>
                <w:jc w:val="center"/>
              </w:trPr>
              <w:tc>
                <w:tcPr>
                  <w:tcW w:w="265" w:type="pct"/>
                  <w:noWrap w:val="0"/>
                  <w:vAlign w:val="center"/>
                </w:tcPr>
                <w:p w14:paraId="4095DACA">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437" w:type="pct"/>
                  <w:noWrap w:val="0"/>
                  <w:vAlign w:val="center"/>
                </w:tcPr>
                <w:p w14:paraId="55676F81">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加工车间</w:t>
                  </w:r>
                </w:p>
              </w:tc>
              <w:tc>
                <w:tcPr>
                  <w:tcW w:w="391" w:type="pct"/>
                  <w:noWrap w:val="0"/>
                  <w:vAlign w:val="center"/>
                </w:tcPr>
                <w:p w14:paraId="6881CA46">
                  <w:pPr>
                    <w:contextualSpacing/>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叉车</w:t>
                  </w:r>
                </w:p>
              </w:tc>
              <w:tc>
                <w:tcPr>
                  <w:tcW w:w="291" w:type="pct"/>
                  <w:noWrap w:val="0"/>
                  <w:vAlign w:val="center"/>
                </w:tcPr>
                <w:p w14:paraId="1AF552C9">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227" w:type="pct"/>
                  <w:vMerge w:val="continue"/>
                  <w:noWrap w:val="0"/>
                  <w:vAlign w:val="center"/>
                </w:tcPr>
                <w:p w14:paraId="679E1981">
                  <w:pPr>
                    <w:spacing w:line="0" w:lineRule="atLeast"/>
                    <w:jc w:val="center"/>
                    <w:rPr>
                      <w:rFonts w:hint="default" w:ascii="Times New Roman" w:hAnsi="Times New Roman" w:cs="Times New Roman"/>
                      <w:color w:val="auto"/>
                      <w:szCs w:val="21"/>
                      <w:highlight w:val="none"/>
                    </w:rPr>
                  </w:pPr>
                </w:p>
              </w:tc>
              <w:tc>
                <w:tcPr>
                  <w:tcW w:w="248" w:type="pct"/>
                  <w:noWrap w:val="0"/>
                  <w:vAlign w:val="center"/>
                </w:tcPr>
                <w:p w14:paraId="35DAD6C1">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-45</w:t>
                  </w:r>
                </w:p>
              </w:tc>
              <w:tc>
                <w:tcPr>
                  <w:tcW w:w="206" w:type="pct"/>
                  <w:noWrap w:val="0"/>
                  <w:vAlign w:val="center"/>
                </w:tcPr>
                <w:p w14:paraId="7CD53051">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209" w:type="pct"/>
                  <w:noWrap w:val="0"/>
                  <w:vAlign w:val="center"/>
                </w:tcPr>
                <w:p w14:paraId="3D023A21">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w:t>
                  </w:r>
                </w:p>
              </w:tc>
              <w:tc>
                <w:tcPr>
                  <w:tcW w:w="309" w:type="pct"/>
                  <w:noWrap w:val="0"/>
                  <w:vAlign w:val="center"/>
                </w:tcPr>
                <w:p w14:paraId="6CFB7191">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464" w:type="pct"/>
                  <w:noWrap w:val="0"/>
                  <w:vAlign w:val="center"/>
                </w:tcPr>
                <w:p w14:paraId="1264D69F">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w:t>
                  </w:r>
                </w:p>
              </w:tc>
              <w:tc>
                <w:tcPr>
                  <w:tcW w:w="473" w:type="pct"/>
                  <w:noWrap w:val="0"/>
                  <w:vAlign w:val="center"/>
                </w:tcPr>
                <w:p w14:paraId="10D08817">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73" w:type="pct"/>
                  <w:noWrap w:val="0"/>
                  <w:vAlign w:val="center"/>
                </w:tcPr>
                <w:p w14:paraId="71FFFE34">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318" w:type="pct"/>
                  <w:noWrap w:val="0"/>
                  <w:vAlign w:val="center"/>
                </w:tcPr>
                <w:p w14:paraId="3E8CFC36">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w:t>
                  </w:r>
                </w:p>
              </w:tc>
              <w:tc>
                <w:tcPr>
                  <w:tcW w:w="327" w:type="pct"/>
                  <w:noWrap w:val="0"/>
                  <w:vAlign w:val="center"/>
                </w:tcPr>
                <w:p w14:paraId="172D116A">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1m</w:t>
                  </w:r>
                </w:p>
              </w:tc>
              <w:tc>
                <w:tcPr>
                  <w:tcW w:w="357" w:type="pct"/>
                  <w:noWrap w:val="0"/>
                  <w:vAlign w:val="center"/>
                </w:tcPr>
                <w:p w14:paraId="74710FD7">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300</w:t>
                  </w:r>
                </w:p>
              </w:tc>
            </w:tr>
            <w:tr w14:paraId="5FC0E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97" w:hRule="atLeast"/>
                <w:jc w:val="center"/>
              </w:trPr>
              <w:tc>
                <w:tcPr>
                  <w:tcW w:w="265" w:type="pct"/>
                  <w:noWrap w:val="0"/>
                  <w:vAlign w:val="center"/>
                </w:tcPr>
                <w:p w14:paraId="48F00C54">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437" w:type="pct"/>
                  <w:noWrap w:val="0"/>
                  <w:vAlign w:val="center"/>
                </w:tcPr>
                <w:p w14:paraId="58F216E6">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加工车间</w:t>
                  </w:r>
                </w:p>
              </w:tc>
              <w:tc>
                <w:tcPr>
                  <w:tcW w:w="391" w:type="pct"/>
                  <w:noWrap w:val="0"/>
                  <w:vAlign w:val="center"/>
                </w:tcPr>
                <w:p w14:paraId="2671DD1A">
                  <w:pPr>
                    <w:contextualSpacing/>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风机</w:t>
                  </w:r>
                </w:p>
              </w:tc>
              <w:tc>
                <w:tcPr>
                  <w:tcW w:w="291" w:type="pct"/>
                  <w:noWrap w:val="0"/>
                  <w:vAlign w:val="center"/>
                </w:tcPr>
                <w:p w14:paraId="6C3C2B9F">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227" w:type="pct"/>
                  <w:vMerge w:val="continue"/>
                  <w:noWrap w:val="0"/>
                  <w:vAlign w:val="center"/>
                </w:tcPr>
                <w:p w14:paraId="03F36448">
                  <w:pPr>
                    <w:spacing w:line="0" w:lineRule="atLeast"/>
                    <w:jc w:val="center"/>
                    <w:rPr>
                      <w:rFonts w:hint="default" w:ascii="Times New Roman" w:hAnsi="Times New Roman" w:cs="Times New Roman"/>
                      <w:color w:val="auto"/>
                      <w:szCs w:val="21"/>
                      <w:highlight w:val="none"/>
                    </w:rPr>
                  </w:pPr>
                </w:p>
              </w:tc>
              <w:tc>
                <w:tcPr>
                  <w:tcW w:w="248" w:type="pct"/>
                  <w:noWrap w:val="0"/>
                  <w:vAlign w:val="center"/>
                </w:tcPr>
                <w:p w14:paraId="0AB7E268">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w:t>
                  </w:r>
                </w:p>
              </w:tc>
              <w:tc>
                <w:tcPr>
                  <w:tcW w:w="206" w:type="pct"/>
                  <w:noWrap w:val="0"/>
                  <w:vAlign w:val="center"/>
                </w:tcPr>
                <w:p w14:paraId="165B4CF2">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209" w:type="pct"/>
                  <w:noWrap w:val="0"/>
                  <w:vAlign w:val="center"/>
                </w:tcPr>
                <w:p w14:paraId="32B5CDA4">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1.3</w:t>
                  </w:r>
                </w:p>
              </w:tc>
              <w:tc>
                <w:tcPr>
                  <w:tcW w:w="309" w:type="pct"/>
                  <w:noWrap w:val="0"/>
                  <w:vAlign w:val="center"/>
                </w:tcPr>
                <w:p w14:paraId="7D9779DC">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464" w:type="pct"/>
                  <w:noWrap w:val="0"/>
                  <w:vAlign w:val="center"/>
                </w:tcPr>
                <w:p w14:paraId="285C8ABE">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w:t>
                  </w:r>
                </w:p>
              </w:tc>
              <w:tc>
                <w:tcPr>
                  <w:tcW w:w="473" w:type="pct"/>
                  <w:noWrap w:val="0"/>
                  <w:vAlign w:val="center"/>
                </w:tcPr>
                <w:p w14:paraId="14D2792D">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73" w:type="pct"/>
                  <w:noWrap w:val="0"/>
                  <w:vAlign w:val="center"/>
                </w:tcPr>
                <w:p w14:paraId="532CCC48">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318" w:type="pct"/>
                  <w:noWrap w:val="0"/>
                  <w:vAlign w:val="center"/>
                </w:tcPr>
                <w:p w14:paraId="64A2D822">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w:t>
                  </w:r>
                </w:p>
              </w:tc>
              <w:tc>
                <w:tcPr>
                  <w:tcW w:w="327" w:type="pct"/>
                  <w:noWrap w:val="0"/>
                  <w:vAlign w:val="center"/>
                </w:tcPr>
                <w:p w14:paraId="0E8EB64A">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1m</w:t>
                  </w:r>
                </w:p>
              </w:tc>
              <w:tc>
                <w:tcPr>
                  <w:tcW w:w="357" w:type="pct"/>
                  <w:noWrap w:val="0"/>
                  <w:vAlign w:val="center"/>
                </w:tcPr>
                <w:p w14:paraId="613A9677">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300</w:t>
                  </w:r>
                </w:p>
              </w:tc>
            </w:tr>
            <w:tr w14:paraId="2AF2E9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5" w:type="pct"/>
                  <w:noWrap w:val="0"/>
                  <w:vAlign w:val="center"/>
                </w:tcPr>
                <w:p w14:paraId="40A084E5">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437" w:type="pct"/>
                  <w:noWrap w:val="0"/>
                  <w:vAlign w:val="center"/>
                </w:tcPr>
                <w:p w14:paraId="0A39C6EF">
                  <w:pPr>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锅炉房</w:t>
                  </w:r>
                </w:p>
              </w:tc>
              <w:tc>
                <w:tcPr>
                  <w:tcW w:w="391" w:type="pct"/>
                  <w:noWrap w:val="0"/>
                  <w:vAlign w:val="center"/>
                </w:tcPr>
                <w:p w14:paraId="735A330F">
                  <w:pPr>
                    <w:jc w:val="center"/>
                    <w:textAlignment w:val="center"/>
                    <w:rPr>
                      <w:rFonts w:hint="default" w:ascii="Times New Roman" w:hAnsi="Times New Roman" w:eastAsia="宋体" w:cs="Times New Roman"/>
                      <w:highlight w:val="none"/>
                      <w:lang w:eastAsia="zh-CN"/>
                    </w:rPr>
                  </w:pPr>
                  <w:r>
                    <w:rPr>
                      <w:rFonts w:hint="default" w:ascii="Times New Roman" w:hAnsi="Times New Roman" w:cs="Times New Roman"/>
                      <w:color w:val="auto"/>
                      <w:szCs w:val="21"/>
                      <w:highlight w:val="none"/>
                      <w:lang w:eastAsia="zh-CN"/>
                    </w:rPr>
                    <w:t>风机</w:t>
                  </w:r>
                </w:p>
              </w:tc>
              <w:tc>
                <w:tcPr>
                  <w:tcW w:w="291" w:type="pct"/>
                  <w:noWrap w:val="0"/>
                  <w:vAlign w:val="center"/>
                </w:tcPr>
                <w:p w14:paraId="5D96E75E">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227" w:type="pct"/>
                  <w:vMerge w:val="continue"/>
                  <w:noWrap w:val="0"/>
                  <w:vAlign w:val="center"/>
                </w:tcPr>
                <w:p w14:paraId="6817AADB">
                  <w:pPr>
                    <w:spacing w:line="0" w:lineRule="atLeast"/>
                    <w:jc w:val="center"/>
                    <w:rPr>
                      <w:rFonts w:hint="default" w:ascii="Times New Roman" w:hAnsi="Times New Roman" w:cs="Times New Roman"/>
                      <w:color w:val="auto"/>
                      <w:szCs w:val="21"/>
                      <w:highlight w:val="none"/>
                    </w:rPr>
                  </w:pPr>
                </w:p>
              </w:tc>
              <w:tc>
                <w:tcPr>
                  <w:tcW w:w="248" w:type="pct"/>
                  <w:noWrap w:val="0"/>
                  <w:vAlign w:val="center"/>
                </w:tcPr>
                <w:p w14:paraId="4C69FE77">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206" w:type="pct"/>
                  <w:noWrap w:val="0"/>
                  <w:vAlign w:val="center"/>
                </w:tcPr>
                <w:p w14:paraId="55712BD5">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209" w:type="pct"/>
                  <w:noWrap w:val="0"/>
                  <w:vAlign w:val="center"/>
                </w:tcPr>
                <w:p w14:paraId="14574BE1">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309" w:type="pct"/>
                  <w:noWrap w:val="0"/>
                  <w:vAlign w:val="center"/>
                </w:tcPr>
                <w:p w14:paraId="53A37F60">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464" w:type="pct"/>
                  <w:noWrap w:val="0"/>
                  <w:vAlign w:val="center"/>
                </w:tcPr>
                <w:p w14:paraId="484C5589">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74</w:t>
                  </w:r>
                </w:p>
              </w:tc>
              <w:tc>
                <w:tcPr>
                  <w:tcW w:w="473" w:type="pct"/>
                  <w:noWrap w:val="0"/>
                  <w:vAlign w:val="center"/>
                </w:tcPr>
                <w:p w14:paraId="656887ED">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73" w:type="pct"/>
                  <w:noWrap w:val="0"/>
                  <w:vAlign w:val="center"/>
                </w:tcPr>
                <w:p w14:paraId="154C3680">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318" w:type="pct"/>
                  <w:noWrap w:val="0"/>
                  <w:vAlign w:val="center"/>
                </w:tcPr>
                <w:p w14:paraId="1E085789">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54</w:t>
                  </w:r>
                </w:p>
              </w:tc>
              <w:tc>
                <w:tcPr>
                  <w:tcW w:w="327" w:type="pct"/>
                  <w:noWrap w:val="0"/>
                  <w:vAlign w:val="center"/>
                </w:tcPr>
                <w:p w14:paraId="0A23C421">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1m</w:t>
                  </w:r>
                </w:p>
              </w:tc>
              <w:tc>
                <w:tcPr>
                  <w:tcW w:w="357" w:type="pct"/>
                  <w:noWrap w:val="0"/>
                  <w:vAlign w:val="center"/>
                </w:tcPr>
                <w:p w14:paraId="4801313F">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300</w:t>
                  </w:r>
                </w:p>
              </w:tc>
            </w:tr>
            <w:tr w14:paraId="20BD1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65" w:type="pct"/>
                  <w:noWrap w:val="0"/>
                  <w:vAlign w:val="center"/>
                </w:tcPr>
                <w:p w14:paraId="689BFA87">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c>
                <w:tcPr>
                  <w:tcW w:w="437" w:type="pct"/>
                  <w:noWrap w:val="0"/>
                  <w:vAlign w:val="center"/>
                </w:tcPr>
                <w:p w14:paraId="4D6A6ECA">
                  <w:pPr>
                    <w:jc w:val="center"/>
                    <w:textAlignment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加工车间</w:t>
                  </w:r>
                </w:p>
              </w:tc>
              <w:tc>
                <w:tcPr>
                  <w:tcW w:w="391" w:type="pct"/>
                  <w:noWrap w:val="0"/>
                  <w:vAlign w:val="center"/>
                </w:tcPr>
                <w:p w14:paraId="7FA4E9AC">
                  <w:pPr>
                    <w:jc w:val="center"/>
                    <w:textAlignment w:val="center"/>
                    <w:rPr>
                      <w:rFonts w:hint="default" w:ascii="Times New Roman" w:hAnsi="Times New Roman" w:cs="Times New Roman"/>
                      <w:highlight w:val="none"/>
                      <w:lang w:eastAsia="zh-CN"/>
                    </w:rPr>
                  </w:pPr>
                  <w:r>
                    <w:rPr>
                      <w:rFonts w:hint="default" w:ascii="Times New Roman" w:hAnsi="Times New Roman" w:cs="Times New Roman"/>
                      <w:highlight w:val="none"/>
                      <w:lang w:eastAsia="zh-CN"/>
                    </w:rPr>
                    <w:t>滚筒筛</w:t>
                  </w:r>
                </w:p>
              </w:tc>
              <w:tc>
                <w:tcPr>
                  <w:tcW w:w="291" w:type="pct"/>
                  <w:noWrap w:val="0"/>
                  <w:vAlign w:val="center"/>
                </w:tcPr>
                <w:p w14:paraId="192F7358">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80</w:t>
                  </w:r>
                </w:p>
              </w:tc>
              <w:tc>
                <w:tcPr>
                  <w:tcW w:w="227" w:type="pct"/>
                  <w:vMerge w:val="continue"/>
                  <w:noWrap w:val="0"/>
                  <w:vAlign w:val="center"/>
                </w:tcPr>
                <w:p w14:paraId="7F9BB59C">
                  <w:pPr>
                    <w:spacing w:line="0" w:lineRule="atLeast"/>
                    <w:jc w:val="center"/>
                    <w:rPr>
                      <w:rFonts w:hint="default" w:ascii="Times New Roman" w:hAnsi="Times New Roman" w:cs="Times New Roman"/>
                      <w:color w:val="auto"/>
                      <w:szCs w:val="21"/>
                      <w:highlight w:val="none"/>
                    </w:rPr>
                  </w:pPr>
                </w:p>
              </w:tc>
              <w:tc>
                <w:tcPr>
                  <w:tcW w:w="248" w:type="pct"/>
                  <w:noWrap w:val="0"/>
                  <w:vAlign w:val="center"/>
                </w:tcPr>
                <w:p w14:paraId="609170C9">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-35</w:t>
                  </w:r>
                </w:p>
              </w:tc>
              <w:tc>
                <w:tcPr>
                  <w:tcW w:w="206" w:type="pct"/>
                  <w:noWrap w:val="0"/>
                  <w:vAlign w:val="center"/>
                </w:tcPr>
                <w:p w14:paraId="64812B26">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c>
                <w:tcPr>
                  <w:tcW w:w="209" w:type="pct"/>
                  <w:noWrap w:val="0"/>
                  <w:vAlign w:val="center"/>
                </w:tcPr>
                <w:p w14:paraId="30E50806">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1.2</w:t>
                  </w:r>
                </w:p>
              </w:tc>
              <w:tc>
                <w:tcPr>
                  <w:tcW w:w="309" w:type="pct"/>
                  <w:noWrap w:val="0"/>
                  <w:vAlign w:val="center"/>
                </w:tcPr>
                <w:p w14:paraId="6D4CF925">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10</w:t>
                  </w:r>
                </w:p>
              </w:tc>
              <w:tc>
                <w:tcPr>
                  <w:tcW w:w="464" w:type="pct"/>
                  <w:noWrap w:val="0"/>
                  <w:vAlign w:val="center"/>
                </w:tcPr>
                <w:p w14:paraId="389B2591">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60</w:t>
                  </w:r>
                </w:p>
              </w:tc>
              <w:tc>
                <w:tcPr>
                  <w:tcW w:w="473" w:type="pct"/>
                  <w:noWrap w:val="0"/>
                  <w:vAlign w:val="center"/>
                </w:tcPr>
                <w:p w14:paraId="3F1C5F97">
                  <w:pPr>
                    <w:spacing w:line="0" w:lineRule="atLeas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473" w:type="pct"/>
                  <w:noWrap w:val="0"/>
                  <w:vAlign w:val="center"/>
                </w:tcPr>
                <w:p w14:paraId="343EA823">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w:t>
                  </w:r>
                </w:p>
              </w:tc>
              <w:tc>
                <w:tcPr>
                  <w:tcW w:w="318" w:type="pct"/>
                  <w:noWrap w:val="0"/>
                  <w:vAlign w:val="center"/>
                </w:tcPr>
                <w:p w14:paraId="3BE2410D">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40</w:t>
                  </w:r>
                </w:p>
              </w:tc>
              <w:tc>
                <w:tcPr>
                  <w:tcW w:w="327" w:type="pct"/>
                  <w:noWrap w:val="0"/>
                  <w:vAlign w:val="center"/>
                </w:tcPr>
                <w:p w14:paraId="02F32F7C">
                  <w:pPr>
                    <w:spacing w:line="0" w:lineRule="atLeast"/>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1m</w:t>
                  </w:r>
                </w:p>
              </w:tc>
              <w:tc>
                <w:tcPr>
                  <w:tcW w:w="357" w:type="pct"/>
                  <w:noWrap w:val="0"/>
                  <w:vAlign w:val="center"/>
                </w:tcPr>
                <w:p w14:paraId="787D1CDD">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300</w:t>
                  </w:r>
                </w:p>
              </w:tc>
            </w:tr>
          </w:tbl>
          <w:p w14:paraId="616F940C">
            <w:pPr>
              <w:adjustRightInd w:val="0"/>
              <w:snapToGrid w:val="0"/>
              <w:rPr>
                <w:rFonts w:hint="default" w:ascii="Times New Roman" w:hAnsi="Times New Roman" w:cs="Times New Roman"/>
                <w:bCs/>
                <w:color w:val="auto"/>
                <w:szCs w:val="21"/>
                <w:highlight w:val="none"/>
              </w:rPr>
            </w:pPr>
          </w:p>
          <w:p w14:paraId="09141A0E">
            <w:pPr>
              <w:adjustRightInd w:val="0"/>
              <w:snapToGrid w:val="0"/>
              <w:spacing w:line="360" w:lineRule="auto"/>
              <w:ind w:firstLine="420" w:firstLineChars="200"/>
              <w:rPr>
                <w:rFonts w:hint="default"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2</w:t>
            </w: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eastAsia="zh-CN"/>
              </w:rPr>
              <w:t>噪声预测</w:t>
            </w:r>
          </w:p>
          <w:p w14:paraId="544341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根据拟建项目设备声源特征和声学环境的特点，视设备声源为点源，声场为半自由声场，参照以下公式。</w:t>
            </w:r>
          </w:p>
          <w:p w14:paraId="478B0F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①建设项目声源在预测点产生的等效声级贡献值(Leqg)计算公式：</w:t>
            </w:r>
          </w:p>
          <w:p w14:paraId="708E7C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sz w:val="21"/>
                <w:szCs w:val="21"/>
                <w:highlight w:val="none"/>
              </w:rPr>
              <w:drawing>
                <wp:inline distT="0" distB="0" distL="114300" distR="114300">
                  <wp:extent cx="1837690" cy="465455"/>
                  <wp:effectExtent l="0" t="0" r="0" b="1143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1"/>
                          <a:stretch>
                            <a:fillRect/>
                          </a:stretch>
                        </pic:blipFill>
                        <pic:spPr>
                          <a:xfrm>
                            <a:off x="0" y="0"/>
                            <a:ext cx="1837690" cy="465455"/>
                          </a:xfrm>
                          <a:prstGeom prst="rect">
                            <a:avLst/>
                          </a:prstGeom>
                          <a:noFill/>
                          <a:ln>
                            <a:noFill/>
                          </a:ln>
                        </pic:spPr>
                      </pic:pic>
                    </a:graphicData>
                  </a:graphic>
                </wp:inline>
              </w:drawing>
            </w:r>
          </w:p>
          <w:p w14:paraId="264CB5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Leqg——建设项目声源在预测点的等效声级贡献值，dB(A)；</w:t>
            </w:r>
          </w:p>
          <w:p w14:paraId="367242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LAi——i声源在预测点产生的A声级，dB(A)；</w:t>
            </w:r>
          </w:p>
          <w:p w14:paraId="69C6561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T——预测计算的时间段，s；</w:t>
            </w:r>
          </w:p>
          <w:p w14:paraId="4F90C0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ti——i声源在T时段内的运行时间，s。</w:t>
            </w:r>
          </w:p>
          <w:p w14:paraId="24B8CA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②预测点的预测等效声级(Leq)计算公式：</w:t>
            </w:r>
          </w:p>
          <w:p w14:paraId="1F1214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sz w:val="21"/>
                <w:szCs w:val="21"/>
                <w:highlight w:val="none"/>
              </w:rPr>
              <w:drawing>
                <wp:inline distT="0" distB="0" distL="114300" distR="114300">
                  <wp:extent cx="2088515" cy="284480"/>
                  <wp:effectExtent l="0" t="0" r="0" b="127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2"/>
                          <a:stretch>
                            <a:fillRect/>
                          </a:stretch>
                        </pic:blipFill>
                        <pic:spPr>
                          <a:xfrm>
                            <a:off x="0" y="0"/>
                            <a:ext cx="2088515" cy="284480"/>
                          </a:xfrm>
                          <a:prstGeom prst="rect">
                            <a:avLst/>
                          </a:prstGeom>
                          <a:noFill/>
                          <a:ln>
                            <a:noFill/>
                          </a:ln>
                        </pic:spPr>
                      </pic:pic>
                    </a:graphicData>
                  </a:graphic>
                </wp:inline>
              </w:drawing>
            </w:r>
          </w:p>
          <w:p w14:paraId="1445B1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式中：Leqg——建设项目声源在预测点的等效声级贡献值，dB(A)；</w:t>
            </w:r>
          </w:p>
          <w:p w14:paraId="6999A0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Leqb——预测点的背景值，dB(A)。</w:t>
            </w:r>
          </w:p>
          <w:p w14:paraId="721E8D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③户外声传播衰减计算</w:t>
            </w:r>
          </w:p>
          <w:p w14:paraId="3A6E0A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户外声传播衰减包括几何发散（Adiv）、大气吸收（Aatm）、地面效应（Agr）、屏障屏蔽（Abar）、其他多方面效应（Amisc）引起的衰减。</w:t>
            </w:r>
          </w:p>
          <w:p w14:paraId="748DE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距声源点r处的A声级按下式计算：</w:t>
            </w:r>
          </w:p>
          <w:p w14:paraId="65AB5A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sz w:val="21"/>
                <w:szCs w:val="21"/>
                <w:highlight w:val="none"/>
              </w:rPr>
              <w:drawing>
                <wp:inline distT="0" distB="0" distL="114300" distR="114300">
                  <wp:extent cx="3924935" cy="336550"/>
                  <wp:effectExtent l="0" t="0" r="18415" b="635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3"/>
                          <a:stretch>
                            <a:fillRect/>
                          </a:stretch>
                        </pic:blipFill>
                        <pic:spPr>
                          <a:xfrm>
                            <a:off x="0" y="0"/>
                            <a:ext cx="3924935" cy="336550"/>
                          </a:xfrm>
                          <a:prstGeom prst="rect">
                            <a:avLst/>
                          </a:prstGeom>
                          <a:noFill/>
                          <a:ln>
                            <a:noFill/>
                          </a:ln>
                        </pic:spPr>
                      </pic:pic>
                    </a:graphicData>
                  </a:graphic>
                </wp:inline>
              </w:drawing>
            </w:r>
          </w:p>
          <w:p w14:paraId="6510FA07">
            <w:pPr>
              <w:adjustRightInd w:val="0"/>
              <w:snapToGrid w:val="0"/>
              <w:spacing w:line="360" w:lineRule="auto"/>
              <w:ind w:firstLine="420" w:firstLineChars="200"/>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在预测中考虑</w:t>
            </w:r>
            <w:r>
              <w:rPr>
                <w:rFonts w:hint="default" w:ascii="Times New Roman" w:hAnsi="Times New Roman" w:cs="Times New Roman"/>
                <w:b w:val="0"/>
                <w:bCs w:val="0"/>
                <w:color w:val="auto"/>
                <w:sz w:val="21"/>
                <w:szCs w:val="21"/>
                <w:highlight w:val="none"/>
              </w:rPr>
              <w:t>反射引起的修正、屏障引起的衰减、双绕射、室内声源等效室外声源等影响和计算方法。</w:t>
            </w:r>
          </w:p>
          <w:p w14:paraId="00561151">
            <w:pPr>
              <w:pStyle w:val="5"/>
              <w:jc w:val="center"/>
              <w:rPr>
                <w:rFonts w:hint="default" w:ascii="Times New Roman" w:hAnsi="Times New Roman" w:eastAsia="宋体" w:cs="Times New Roman"/>
                <w:highlight w:val="none"/>
                <w:lang w:val="en-US" w:eastAsia="zh-CN"/>
              </w:rPr>
            </w:pPr>
            <w:r>
              <w:rPr>
                <w:rFonts w:hint="default" w:ascii="Times New Roman" w:hAnsi="Times New Roman" w:cs="Times New Roman"/>
                <w:b/>
                <w:bCs/>
                <w:color w:val="auto"/>
                <w:sz w:val="21"/>
                <w:szCs w:val="21"/>
                <w:highlight w:val="none"/>
                <w:lang w:eastAsia="zh-CN"/>
              </w:rPr>
              <w:t>表</w:t>
            </w:r>
            <w:r>
              <w:rPr>
                <w:rFonts w:hint="default" w:ascii="Times New Roman" w:hAnsi="Times New Roman" w:cs="Times New Roman"/>
                <w:b/>
                <w:bCs/>
                <w:color w:val="auto"/>
                <w:sz w:val="21"/>
                <w:szCs w:val="21"/>
                <w:highlight w:val="none"/>
                <w:lang w:val="en-US" w:eastAsia="zh-CN"/>
              </w:rPr>
              <w:t>4-9 噪声预测结果  单位：dB（A）</w:t>
            </w:r>
          </w:p>
          <w:tbl>
            <w:tblPr>
              <w:tblStyle w:val="1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17"/>
              <w:gridCol w:w="2616"/>
              <w:gridCol w:w="2613"/>
            </w:tblGrid>
            <w:tr w14:paraId="6D91A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9" w:type="pct"/>
                  <w:noWrap w:val="0"/>
                  <w:vAlign w:val="center"/>
                </w:tcPr>
                <w:p w14:paraId="3C12016E">
                  <w:pPr>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预测点位</w:t>
                  </w:r>
                </w:p>
              </w:tc>
              <w:tc>
                <w:tcPr>
                  <w:tcW w:w="1646" w:type="pct"/>
                  <w:noWrap w:val="0"/>
                  <w:vAlign w:val="center"/>
                </w:tcPr>
                <w:p w14:paraId="3E21BFBF">
                  <w:pPr>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预测时段</w:t>
                  </w:r>
                </w:p>
              </w:tc>
              <w:tc>
                <w:tcPr>
                  <w:tcW w:w="1644" w:type="pct"/>
                  <w:noWrap w:val="0"/>
                  <w:vAlign w:val="center"/>
                </w:tcPr>
                <w:p w14:paraId="713EEA99">
                  <w:pPr>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贡献值</w:t>
                  </w:r>
                </w:p>
              </w:tc>
            </w:tr>
            <w:tr w14:paraId="5B02C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09" w:type="pct"/>
                  <w:noWrap w:val="0"/>
                  <w:vAlign w:val="center"/>
                </w:tcPr>
                <w:p w14:paraId="4AC8C9D7">
                  <w:pPr>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西</w:t>
                  </w:r>
                </w:p>
              </w:tc>
              <w:tc>
                <w:tcPr>
                  <w:tcW w:w="1646" w:type="pct"/>
                  <w:vMerge w:val="restart"/>
                  <w:noWrap w:val="0"/>
                  <w:vAlign w:val="center"/>
                </w:tcPr>
                <w:p w14:paraId="253A7C58">
                  <w:pPr>
                    <w:spacing w:line="0" w:lineRule="atLeast"/>
                    <w:jc w:val="center"/>
                    <w:rPr>
                      <w:rFonts w:hint="default" w:ascii="Times New Roman" w:hAnsi="Times New Roman" w:eastAsia="宋体" w:cs="Times New Roman"/>
                      <w:szCs w:val="21"/>
                      <w:highlight w:val="none"/>
                    </w:rPr>
                  </w:pPr>
                  <w:r>
                    <w:rPr>
                      <w:rFonts w:hint="default" w:ascii="Times New Roman" w:hAnsi="Times New Roman" w:eastAsia="宋体" w:cs="Times New Roman"/>
                      <w:highlight w:val="none"/>
                    </w:rPr>
                    <w:t>昼</w:t>
                  </w:r>
                </w:p>
              </w:tc>
              <w:tc>
                <w:tcPr>
                  <w:tcW w:w="1644" w:type="pct"/>
                  <w:noWrap w:val="0"/>
                  <w:vAlign w:val="center"/>
                </w:tcPr>
                <w:p w14:paraId="178A85C8">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43.9</w:t>
                  </w:r>
                </w:p>
              </w:tc>
            </w:tr>
            <w:tr w14:paraId="2F72E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09" w:type="pct"/>
                  <w:noWrap w:val="0"/>
                  <w:vAlign w:val="center"/>
                </w:tcPr>
                <w:p w14:paraId="3CB1F8A0">
                  <w:pPr>
                    <w:spacing w:line="0" w:lineRule="atLeast"/>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南</w:t>
                  </w:r>
                </w:p>
              </w:tc>
              <w:tc>
                <w:tcPr>
                  <w:tcW w:w="1646" w:type="pct"/>
                  <w:vMerge w:val="continue"/>
                  <w:noWrap w:val="0"/>
                  <w:vAlign w:val="center"/>
                </w:tcPr>
                <w:p w14:paraId="66CBBD73">
                  <w:pPr>
                    <w:spacing w:line="0" w:lineRule="atLeast"/>
                    <w:jc w:val="center"/>
                    <w:rPr>
                      <w:rFonts w:hint="default" w:ascii="Times New Roman" w:hAnsi="Times New Roman" w:eastAsia="宋体" w:cs="Times New Roman"/>
                      <w:highlight w:val="none"/>
                    </w:rPr>
                  </w:pPr>
                </w:p>
              </w:tc>
              <w:tc>
                <w:tcPr>
                  <w:tcW w:w="1644" w:type="pct"/>
                  <w:noWrap w:val="0"/>
                  <w:vAlign w:val="center"/>
                </w:tcPr>
                <w:p w14:paraId="52420E8A">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44.6</w:t>
                  </w:r>
                </w:p>
              </w:tc>
            </w:tr>
            <w:tr w14:paraId="1F960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09" w:type="pct"/>
                  <w:noWrap w:val="0"/>
                  <w:vAlign w:val="center"/>
                </w:tcPr>
                <w:p w14:paraId="0AC89DB8">
                  <w:pPr>
                    <w:spacing w:line="0" w:lineRule="atLeast"/>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东</w:t>
                  </w:r>
                </w:p>
              </w:tc>
              <w:tc>
                <w:tcPr>
                  <w:tcW w:w="1646" w:type="pct"/>
                  <w:vMerge w:val="continue"/>
                  <w:noWrap w:val="0"/>
                  <w:vAlign w:val="center"/>
                </w:tcPr>
                <w:p w14:paraId="13CF3DC3">
                  <w:pPr>
                    <w:spacing w:line="0" w:lineRule="atLeast"/>
                    <w:jc w:val="center"/>
                    <w:rPr>
                      <w:rFonts w:hint="default" w:ascii="Times New Roman" w:hAnsi="Times New Roman" w:eastAsia="宋体" w:cs="Times New Roman"/>
                      <w:highlight w:val="none"/>
                    </w:rPr>
                  </w:pPr>
                </w:p>
              </w:tc>
              <w:tc>
                <w:tcPr>
                  <w:tcW w:w="1644" w:type="pct"/>
                  <w:noWrap w:val="0"/>
                  <w:vAlign w:val="center"/>
                </w:tcPr>
                <w:p w14:paraId="3C76BDF6">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49.5</w:t>
                  </w:r>
                </w:p>
              </w:tc>
            </w:tr>
            <w:tr w14:paraId="3526B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09" w:type="pct"/>
                  <w:noWrap w:val="0"/>
                  <w:vAlign w:val="center"/>
                </w:tcPr>
                <w:p w14:paraId="6C9BF13D">
                  <w:pPr>
                    <w:spacing w:line="0" w:lineRule="atLeast"/>
                    <w:jc w:val="center"/>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北</w:t>
                  </w:r>
                </w:p>
              </w:tc>
              <w:tc>
                <w:tcPr>
                  <w:tcW w:w="1646" w:type="pct"/>
                  <w:vMerge w:val="continue"/>
                  <w:noWrap w:val="0"/>
                  <w:vAlign w:val="center"/>
                </w:tcPr>
                <w:p w14:paraId="7A4A763F">
                  <w:pPr>
                    <w:spacing w:line="0" w:lineRule="atLeast"/>
                    <w:jc w:val="center"/>
                    <w:rPr>
                      <w:rFonts w:hint="default" w:ascii="Times New Roman" w:hAnsi="Times New Roman" w:eastAsia="宋体" w:cs="Times New Roman"/>
                      <w:highlight w:val="none"/>
                    </w:rPr>
                  </w:pPr>
                </w:p>
              </w:tc>
              <w:tc>
                <w:tcPr>
                  <w:tcW w:w="1644" w:type="pct"/>
                  <w:noWrap w:val="0"/>
                  <w:vAlign w:val="center"/>
                </w:tcPr>
                <w:p w14:paraId="1D7E634F">
                  <w:pPr>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43.8</w:t>
                  </w:r>
                </w:p>
              </w:tc>
            </w:tr>
          </w:tbl>
          <w:p w14:paraId="09AECD90">
            <w:pPr>
              <w:jc w:val="center"/>
              <w:rPr>
                <w:rFonts w:hint="default" w:ascii="Times New Roman" w:hAnsi="Times New Roman" w:eastAsia="宋体" w:cs="Times New Roman"/>
                <w:b/>
                <w:sz w:val="24"/>
                <w:szCs w:val="24"/>
                <w:highlight w:val="none"/>
                <w:lang w:val="en-US" w:eastAsia="zh-CN"/>
              </w:rPr>
            </w:pPr>
          </w:p>
          <w:p w14:paraId="085E1DAB">
            <w:pPr>
              <w:jc w:val="center"/>
              <w:rPr>
                <w:rFonts w:hint="default" w:ascii="Times New Roman" w:hAnsi="Times New Roman" w:eastAsia="宋体" w:cs="Times New Roman"/>
                <w:b/>
                <w:sz w:val="21"/>
                <w:szCs w:val="21"/>
                <w:highlight w:val="none"/>
                <w:lang w:val="en-US" w:eastAsia="zh-CN"/>
              </w:rPr>
            </w:pPr>
            <w:r>
              <w:rPr>
                <w:rFonts w:hint="default" w:ascii="Times New Roman" w:hAnsi="Times New Roman" w:eastAsia="宋体" w:cs="Times New Roman"/>
                <w:b/>
                <w:sz w:val="21"/>
                <w:szCs w:val="21"/>
                <w:highlight w:val="none"/>
                <w:lang w:val="en-US" w:eastAsia="zh-CN"/>
              </w:rPr>
              <w:t>表 4-</w:t>
            </w:r>
            <w:r>
              <w:rPr>
                <w:rFonts w:hint="default" w:ascii="Times New Roman" w:hAnsi="Times New Roman" w:cs="Times New Roman"/>
                <w:b/>
                <w:sz w:val="21"/>
                <w:szCs w:val="21"/>
                <w:highlight w:val="none"/>
                <w:lang w:val="en-US" w:eastAsia="zh-CN"/>
              </w:rPr>
              <w:t>10</w:t>
            </w:r>
            <w:r>
              <w:rPr>
                <w:rFonts w:hint="default" w:ascii="Times New Roman" w:hAnsi="Times New Roman" w:eastAsia="宋体" w:cs="Times New Roman"/>
                <w:b/>
                <w:sz w:val="21"/>
                <w:szCs w:val="21"/>
                <w:highlight w:val="none"/>
                <w:lang w:val="en-US" w:eastAsia="zh-CN"/>
              </w:rPr>
              <w:t xml:space="preserve"> 敏感点噪</w:t>
            </w:r>
            <w:r>
              <w:rPr>
                <w:rFonts w:hint="default" w:ascii="Times New Roman" w:hAnsi="Times New Roman" w:eastAsia="宋体" w:cs="Times New Roman"/>
                <w:b/>
                <w:sz w:val="21"/>
                <w:szCs w:val="21"/>
                <w:highlight w:val="none"/>
                <w:lang w:val="en-US" w:eastAsia="zh-CN"/>
              </w:rPr>
              <w:t>声预测结果表</w:t>
            </w:r>
          </w:p>
          <w:tbl>
            <w:tblPr>
              <w:tblStyle w:val="13"/>
              <w:tblW w:w="81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351"/>
              <w:gridCol w:w="1341"/>
              <w:gridCol w:w="1458"/>
              <w:gridCol w:w="1125"/>
              <w:gridCol w:w="1160"/>
            </w:tblGrid>
            <w:tr w14:paraId="2AEBF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4" w:type="dxa"/>
                  <w:vMerge w:val="restart"/>
                  <w:tcBorders>
                    <w:tl2br w:val="nil"/>
                    <w:tr2bl w:val="nil"/>
                  </w:tcBorders>
                  <w:noWrap w:val="0"/>
                  <w:vAlign w:val="center"/>
                </w:tcPr>
                <w:p w14:paraId="55BD85A4">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预测点</w:t>
                  </w:r>
                </w:p>
              </w:tc>
              <w:tc>
                <w:tcPr>
                  <w:tcW w:w="6435" w:type="dxa"/>
                  <w:gridSpan w:val="5"/>
                  <w:tcBorders>
                    <w:tl2br w:val="nil"/>
                    <w:tr2bl w:val="nil"/>
                  </w:tcBorders>
                  <w:noWrap w:val="0"/>
                  <w:vAlign w:val="center"/>
                </w:tcPr>
                <w:p w14:paraId="61113D4D">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昼间</w:t>
                  </w:r>
                </w:p>
              </w:tc>
            </w:tr>
            <w:tr w14:paraId="63E4F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4" w:type="dxa"/>
                  <w:vMerge w:val="continue"/>
                  <w:tcBorders>
                    <w:tl2br w:val="nil"/>
                    <w:tr2bl w:val="nil"/>
                  </w:tcBorders>
                  <w:noWrap w:val="0"/>
                  <w:vAlign w:val="center"/>
                </w:tcPr>
                <w:p w14:paraId="4D644922">
                  <w:pPr>
                    <w:jc w:val="center"/>
                    <w:rPr>
                      <w:rFonts w:hint="default" w:ascii="Times New Roman" w:hAnsi="Times New Roman" w:cs="Times New Roman"/>
                      <w:bCs/>
                      <w:sz w:val="18"/>
                      <w:szCs w:val="18"/>
                      <w:highlight w:val="none"/>
                    </w:rPr>
                  </w:pPr>
                </w:p>
              </w:tc>
              <w:tc>
                <w:tcPr>
                  <w:tcW w:w="1351" w:type="dxa"/>
                  <w:tcBorders>
                    <w:tl2br w:val="nil"/>
                    <w:tr2bl w:val="nil"/>
                  </w:tcBorders>
                  <w:noWrap w:val="0"/>
                  <w:vAlign w:val="center"/>
                </w:tcPr>
                <w:p w14:paraId="3C87EA7A">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贡献值</w:t>
                  </w:r>
                </w:p>
              </w:tc>
              <w:tc>
                <w:tcPr>
                  <w:tcW w:w="1341" w:type="dxa"/>
                  <w:tcBorders>
                    <w:tl2br w:val="nil"/>
                    <w:tr2bl w:val="nil"/>
                  </w:tcBorders>
                  <w:noWrap w:val="0"/>
                  <w:vAlign w:val="center"/>
                </w:tcPr>
                <w:p w14:paraId="5D0C23B8">
                  <w:pPr>
                    <w:jc w:val="center"/>
                    <w:rPr>
                      <w:rFonts w:hint="default" w:ascii="Times New Roman" w:hAnsi="Times New Roman" w:eastAsia="宋体" w:cs="Times New Roman"/>
                      <w:bCs/>
                      <w:sz w:val="18"/>
                      <w:szCs w:val="18"/>
                      <w:highlight w:val="none"/>
                      <w:lang w:eastAsia="zh-CN"/>
                    </w:rPr>
                  </w:pPr>
                  <w:r>
                    <w:rPr>
                      <w:rFonts w:hint="default" w:ascii="Times New Roman" w:hAnsi="Times New Roman" w:cs="Times New Roman"/>
                      <w:bCs/>
                      <w:sz w:val="18"/>
                      <w:szCs w:val="18"/>
                      <w:highlight w:val="none"/>
                    </w:rPr>
                    <w:t>现状值</w:t>
                  </w:r>
                  <w:r>
                    <w:rPr>
                      <w:rFonts w:hint="default" w:ascii="Times New Roman" w:hAnsi="Times New Roman" w:cs="Times New Roman"/>
                      <w:bCs/>
                      <w:sz w:val="18"/>
                      <w:szCs w:val="18"/>
                      <w:highlight w:val="none"/>
                      <w:lang w:eastAsia="zh-CN"/>
                    </w:rPr>
                    <w:t>（最大值）</w:t>
                  </w:r>
                </w:p>
              </w:tc>
              <w:tc>
                <w:tcPr>
                  <w:tcW w:w="1458" w:type="dxa"/>
                  <w:tcBorders>
                    <w:tl2br w:val="nil"/>
                    <w:tr2bl w:val="nil"/>
                  </w:tcBorders>
                  <w:noWrap w:val="0"/>
                  <w:vAlign w:val="center"/>
                </w:tcPr>
                <w:p w14:paraId="167C9052">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预测值</w:t>
                  </w:r>
                </w:p>
              </w:tc>
              <w:tc>
                <w:tcPr>
                  <w:tcW w:w="1125" w:type="dxa"/>
                  <w:tcBorders>
                    <w:tl2br w:val="nil"/>
                    <w:tr2bl w:val="nil"/>
                  </w:tcBorders>
                  <w:noWrap w:val="0"/>
                  <w:vAlign w:val="center"/>
                </w:tcPr>
                <w:p w14:paraId="76D7834C">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标准值</w:t>
                  </w:r>
                </w:p>
              </w:tc>
              <w:tc>
                <w:tcPr>
                  <w:tcW w:w="1160" w:type="dxa"/>
                  <w:tcBorders>
                    <w:tl2br w:val="nil"/>
                    <w:tr2bl w:val="nil"/>
                  </w:tcBorders>
                  <w:noWrap w:val="0"/>
                  <w:vAlign w:val="center"/>
                </w:tcPr>
                <w:p w14:paraId="19610B38">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达标情况</w:t>
                  </w:r>
                </w:p>
              </w:tc>
            </w:tr>
            <w:tr w14:paraId="6913B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84" w:type="dxa"/>
                  <w:tcBorders>
                    <w:tl2br w:val="nil"/>
                    <w:tr2bl w:val="nil"/>
                  </w:tcBorders>
                  <w:noWrap w:val="0"/>
                  <w:vAlign w:val="center"/>
                </w:tcPr>
                <w:p w14:paraId="2DD46E5E">
                  <w:pPr>
                    <w:spacing w:line="360" w:lineRule="auto"/>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eastAsia="zh-CN"/>
                    </w:rPr>
                    <w:t>东</w:t>
                  </w:r>
                  <w:r>
                    <w:rPr>
                      <w:rFonts w:hint="default" w:ascii="Times New Roman" w:hAnsi="Times New Roman" w:cs="Times New Roman"/>
                      <w:sz w:val="18"/>
                      <w:szCs w:val="18"/>
                      <w:highlight w:val="none"/>
                    </w:rPr>
                    <w:t>侧</w:t>
                  </w:r>
                  <w:r>
                    <w:rPr>
                      <w:rFonts w:hint="default" w:ascii="Times New Roman" w:hAnsi="Times New Roman" w:eastAsia="宋体" w:cs="Times New Roman"/>
                      <w:b w:val="0"/>
                      <w:bCs w:val="0"/>
                      <w:color w:val="auto"/>
                      <w:sz w:val="18"/>
                      <w:szCs w:val="18"/>
                      <w:highlight w:val="none"/>
                      <w:u w:val="none"/>
                      <w:vertAlign w:val="baseline"/>
                      <w:lang w:val="en-US" w:eastAsia="zh-CN"/>
                    </w:rPr>
                    <w:t>敏感点</w:t>
                  </w:r>
                </w:p>
              </w:tc>
              <w:tc>
                <w:tcPr>
                  <w:tcW w:w="1351" w:type="dxa"/>
                  <w:tcBorders>
                    <w:tl2br w:val="nil"/>
                    <w:tr2bl w:val="nil"/>
                  </w:tcBorders>
                  <w:noWrap w:val="0"/>
                  <w:vAlign w:val="center"/>
                </w:tcPr>
                <w:p w14:paraId="781C2977">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49.5</w:t>
                  </w:r>
                </w:p>
              </w:tc>
              <w:tc>
                <w:tcPr>
                  <w:tcW w:w="1341" w:type="dxa"/>
                  <w:tcBorders>
                    <w:tl2br w:val="nil"/>
                    <w:tr2bl w:val="nil"/>
                  </w:tcBorders>
                  <w:noWrap w:val="0"/>
                  <w:vAlign w:val="center"/>
                </w:tcPr>
                <w:p w14:paraId="55713063">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eastAsia="宋体" w:cs="Times New Roman"/>
                      <w:bCs/>
                      <w:sz w:val="18"/>
                      <w:szCs w:val="18"/>
                      <w:highlight w:val="none"/>
                      <w:lang w:val="en-US" w:eastAsia="zh-CN"/>
                    </w:rPr>
                    <w:t>54</w:t>
                  </w:r>
                </w:p>
              </w:tc>
              <w:tc>
                <w:tcPr>
                  <w:tcW w:w="1458" w:type="dxa"/>
                  <w:tcBorders>
                    <w:tl2br w:val="nil"/>
                    <w:tr2bl w:val="nil"/>
                  </w:tcBorders>
                  <w:noWrap w:val="0"/>
                  <w:vAlign w:val="center"/>
                </w:tcPr>
                <w:p w14:paraId="4F96DC64">
                  <w:pPr>
                    <w:jc w:val="center"/>
                    <w:rPr>
                      <w:rFonts w:hint="default" w:ascii="Times New Roman" w:hAnsi="Times New Roman" w:eastAsia="宋体"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55.3</w:t>
                  </w:r>
                </w:p>
              </w:tc>
              <w:tc>
                <w:tcPr>
                  <w:tcW w:w="1125" w:type="dxa"/>
                  <w:tcBorders>
                    <w:tl2br w:val="nil"/>
                    <w:tr2bl w:val="nil"/>
                  </w:tcBorders>
                  <w:noWrap w:val="0"/>
                  <w:vAlign w:val="center"/>
                </w:tcPr>
                <w:p w14:paraId="76578B8E">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60</w:t>
                  </w:r>
                </w:p>
              </w:tc>
              <w:tc>
                <w:tcPr>
                  <w:tcW w:w="1160" w:type="dxa"/>
                  <w:tcBorders>
                    <w:tl2br w:val="nil"/>
                    <w:tr2bl w:val="nil"/>
                  </w:tcBorders>
                  <w:noWrap w:val="0"/>
                  <w:vAlign w:val="center"/>
                </w:tcPr>
                <w:p w14:paraId="614D0525">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达标</w:t>
                  </w:r>
                </w:p>
              </w:tc>
            </w:tr>
            <w:tr w14:paraId="4576E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84" w:type="dxa"/>
                  <w:tcBorders>
                    <w:tl2br w:val="nil"/>
                    <w:tr2bl w:val="nil"/>
                  </w:tcBorders>
                  <w:noWrap w:val="0"/>
                  <w:vAlign w:val="center"/>
                </w:tcPr>
                <w:p w14:paraId="3CD83A08">
                  <w:pPr>
                    <w:spacing w:line="36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西</w:t>
                  </w:r>
                  <w:r>
                    <w:rPr>
                      <w:rFonts w:hint="default" w:ascii="Times New Roman" w:hAnsi="Times New Roman" w:cs="Times New Roman"/>
                      <w:sz w:val="18"/>
                      <w:szCs w:val="18"/>
                      <w:highlight w:val="none"/>
                    </w:rPr>
                    <w:t>侧</w:t>
                  </w:r>
                  <w:r>
                    <w:rPr>
                      <w:rFonts w:hint="default" w:ascii="Times New Roman" w:hAnsi="Times New Roman" w:eastAsia="宋体" w:cs="Times New Roman"/>
                      <w:b w:val="0"/>
                      <w:bCs w:val="0"/>
                      <w:color w:val="auto"/>
                      <w:sz w:val="18"/>
                      <w:szCs w:val="18"/>
                      <w:highlight w:val="none"/>
                      <w:u w:val="none"/>
                      <w:vertAlign w:val="baseline"/>
                      <w:lang w:val="en-US" w:eastAsia="zh-CN"/>
                    </w:rPr>
                    <w:t>敏感点</w:t>
                  </w:r>
                </w:p>
              </w:tc>
              <w:tc>
                <w:tcPr>
                  <w:tcW w:w="1351" w:type="dxa"/>
                  <w:tcBorders>
                    <w:tl2br w:val="nil"/>
                    <w:tr2bl w:val="nil"/>
                  </w:tcBorders>
                  <w:noWrap w:val="0"/>
                  <w:vAlign w:val="center"/>
                </w:tcPr>
                <w:p w14:paraId="20CADC96">
                  <w:pPr>
                    <w:jc w:val="center"/>
                    <w:rPr>
                      <w:rFonts w:hint="default" w:ascii="Times New Roman" w:hAnsi="Times New Roman" w:cs="Times New Roman"/>
                      <w:bCs/>
                      <w:smallCaps w:val="0"/>
                      <w:sz w:val="18"/>
                      <w:szCs w:val="18"/>
                      <w:highlight w:val="none"/>
                      <w:lang w:val="en-US" w:eastAsia="zh-CN"/>
                    </w:rPr>
                  </w:pPr>
                  <w:r>
                    <w:rPr>
                      <w:rFonts w:hint="default" w:ascii="Times New Roman" w:hAnsi="Times New Roman" w:cs="Times New Roman"/>
                      <w:bCs/>
                      <w:smallCaps w:val="0"/>
                      <w:sz w:val="18"/>
                      <w:szCs w:val="18"/>
                      <w:highlight w:val="none"/>
                      <w:lang w:val="en-US" w:eastAsia="zh-CN"/>
                    </w:rPr>
                    <w:t>43.9</w:t>
                  </w:r>
                </w:p>
              </w:tc>
              <w:tc>
                <w:tcPr>
                  <w:tcW w:w="1341" w:type="dxa"/>
                  <w:tcBorders>
                    <w:tl2br w:val="nil"/>
                    <w:tr2bl w:val="nil"/>
                  </w:tcBorders>
                  <w:noWrap w:val="0"/>
                  <w:vAlign w:val="center"/>
                </w:tcPr>
                <w:p w14:paraId="3461CF10">
                  <w:pPr>
                    <w:jc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54</w:t>
                  </w:r>
                </w:p>
              </w:tc>
              <w:tc>
                <w:tcPr>
                  <w:tcW w:w="1458" w:type="dxa"/>
                  <w:tcBorders>
                    <w:tl2br w:val="nil"/>
                    <w:tr2bl w:val="nil"/>
                  </w:tcBorders>
                  <w:noWrap w:val="0"/>
                  <w:vAlign w:val="center"/>
                </w:tcPr>
                <w:p w14:paraId="52FDDE44">
                  <w:pPr>
                    <w:jc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54.4</w:t>
                  </w:r>
                </w:p>
              </w:tc>
              <w:tc>
                <w:tcPr>
                  <w:tcW w:w="1125" w:type="dxa"/>
                  <w:tcBorders>
                    <w:tl2br w:val="nil"/>
                    <w:tr2bl w:val="nil"/>
                  </w:tcBorders>
                  <w:noWrap w:val="0"/>
                  <w:vAlign w:val="center"/>
                </w:tcPr>
                <w:p w14:paraId="6835161C">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60</w:t>
                  </w:r>
                </w:p>
              </w:tc>
              <w:tc>
                <w:tcPr>
                  <w:tcW w:w="1160" w:type="dxa"/>
                  <w:tcBorders>
                    <w:tl2br w:val="nil"/>
                    <w:tr2bl w:val="nil"/>
                  </w:tcBorders>
                  <w:noWrap w:val="0"/>
                  <w:vAlign w:val="center"/>
                </w:tcPr>
                <w:p w14:paraId="178BABD2">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达标</w:t>
                  </w:r>
                </w:p>
              </w:tc>
            </w:tr>
            <w:tr w14:paraId="6EDE89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684" w:type="dxa"/>
                  <w:tcBorders>
                    <w:tl2br w:val="nil"/>
                    <w:tr2bl w:val="nil"/>
                  </w:tcBorders>
                  <w:noWrap w:val="0"/>
                  <w:vAlign w:val="center"/>
                </w:tcPr>
                <w:p w14:paraId="571BC839">
                  <w:pPr>
                    <w:spacing w:line="360" w:lineRule="auto"/>
                    <w:jc w:val="center"/>
                    <w:rPr>
                      <w:rFonts w:hint="default" w:ascii="Times New Roman" w:hAnsi="Times New Roman" w:cs="Times New Roman"/>
                      <w:sz w:val="18"/>
                      <w:szCs w:val="18"/>
                      <w:highlight w:val="none"/>
                      <w:lang w:eastAsia="zh-CN"/>
                    </w:rPr>
                  </w:pPr>
                  <w:r>
                    <w:rPr>
                      <w:rFonts w:hint="default" w:ascii="Times New Roman" w:hAnsi="Times New Roman" w:cs="Times New Roman"/>
                      <w:sz w:val="18"/>
                      <w:szCs w:val="18"/>
                      <w:highlight w:val="none"/>
                      <w:lang w:eastAsia="zh-CN"/>
                    </w:rPr>
                    <w:t>南</w:t>
                  </w:r>
                  <w:r>
                    <w:rPr>
                      <w:rFonts w:hint="default" w:ascii="Times New Roman" w:hAnsi="Times New Roman" w:cs="Times New Roman"/>
                      <w:sz w:val="18"/>
                      <w:szCs w:val="18"/>
                      <w:highlight w:val="none"/>
                    </w:rPr>
                    <w:t>侧</w:t>
                  </w:r>
                  <w:r>
                    <w:rPr>
                      <w:rFonts w:hint="default" w:ascii="Times New Roman" w:hAnsi="Times New Roman" w:eastAsia="宋体" w:cs="Times New Roman"/>
                      <w:b w:val="0"/>
                      <w:bCs w:val="0"/>
                      <w:color w:val="auto"/>
                      <w:sz w:val="18"/>
                      <w:szCs w:val="18"/>
                      <w:highlight w:val="none"/>
                      <w:u w:val="none"/>
                      <w:vertAlign w:val="baseline"/>
                      <w:lang w:val="en-US" w:eastAsia="zh-CN"/>
                    </w:rPr>
                    <w:t>敏感点</w:t>
                  </w:r>
                </w:p>
              </w:tc>
              <w:tc>
                <w:tcPr>
                  <w:tcW w:w="1351" w:type="dxa"/>
                  <w:tcBorders>
                    <w:tl2br w:val="nil"/>
                    <w:tr2bl w:val="nil"/>
                  </w:tcBorders>
                  <w:noWrap w:val="0"/>
                  <w:vAlign w:val="center"/>
                </w:tcPr>
                <w:p w14:paraId="3D3993BB">
                  <w:pPr>
                    <w:jc w:val="center"/>
                    <w:rPr>
                      <w:rFonts w:hint="default" w:ascii="Times New Roman" w:hAnsi="Times New Roman" w:cs="Times New Roman"/>
                      <w:bCs/>
                      <w:smallCaps w:val="0"/>
                      <w:sz w:val="18"/>
                      <w:szCs w:val="18"/>
                      <w:highlight w:val="none"/>
                      <w:lang w:val="en-US" w:eastAsia="zh-CN"/>
                    </w:rPr>
                  </w:pPr>
                  <w:r>
                    <w:rPr>
                      <w:rFonts w:hint="default" w:ascii="Times New Roman" w:hAnsi="Times New Roman" w:cs="Times New Roman"/>
                      <w:bCs/>
                      <w:smallCaps w:val="0"/>
                      <w:sz w:val="18"/>
                      <w:szCs w:val="18"/>
                      <w:highlight w:val="none"/>
                      <w:lang w:val="en-US" w:eastAsia="zh-CN"/>
                    </w:rPr>
                    <w:t>44.6</w:t>
                  </w:r>
                </w:p>
              </w:tc>
              <w:tc>
                <w:tcPr>
                  <w:tcW w:w="1341" w:type="dxa"/>
                  <w:tcBorders>
                    <w:tl2br w:val="nil"/>
                    <w:tr2bl w:val="nil"/>
                  </w:tcBorders>
                  <w:noWrap w:val="0"/>
                  <w:vAlign w:val="center"/>
                </w:tcPr>
                <w:p w14:paraId="5618653F">
                  <w:pPr>
                    <w:jc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53</w:t>
                  </w:r>
                </w:p>
              </w:tc>
              <w:tc>
                <w:tcPr>
                  <w:tcW w:w="1458" w:type="dxa"/>
                  <w:tcBorders>
                    <w:tl2br w:val="nil"/>
                    <w:tr2bl w:val="nil"/>
                  </w:tcBorders>
                  <w:noWrap w:val="0"/>
                  <w:vAlign w:val="center"/>
                </w:tcPr>
                <w:p w14:paraId="3BFF50E9">
                  <w:pPr>
                    <w:jc w:val="center"/>
                    <w:rPr>
                      <w:rFonts w:hint="default" w:ascii="Times New Roman" w:hAnsi="Times New Roman" w:cs="Times New Roman"/>
                      <w:bCs/>
                      <w:sz w:val="18"/>
                      <w:szCs w:val="18"/>
                      <w:highlight w:val="none"/>
                      <w:lang w:val="en-US" w:eastAsia="zh-CN"/>
                    </w:rPr>
                  </w:pPr>
                  <w:r>
                    <w:rPr>
                      <w:rFonts w:hint="default" w:ascii="Times New Roman" w:hAnsi="Times New Roman" w:cs="Times New Roman"/>
                      <w:bCs/>
                      <w:sz w:val="18"/>
                      <w:szCs w:val="18"/>
                      <w:highlight w:val="none"/>
                      <w:lang w:val="en-US" w:eastAsia="zh-CN"/>
                    </w:rPr>
                    <w:t>53.6</w:t>
                  </w:r>
                </w:p>
              </w:tc>
              <w:tc>
                <w:tcPr>
                  <w:tcW w:w="1125" w:type="dxa"/>
                  <w:tcBorders>
                    <w:tl2br w:val="nil"/>
                    <w:tr2bl w:val="nil"/>
                  </w:tcBorders>
                  <w:noWrap w:val="0"/>
                  <w:vAlign w:val="center"/>
                </w:tcPr>
                <w:p w14:paraId="76C2735D">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60</w:t>
                  </w:r>
                </w:p>
              </w:tc>
              <w:tc>
                <w:tcPr>
                  <w:tcW w:w="1160" w:type="dxa"/>
                  <w:tcBorders>
                    <w:tl2br w:val="nil"/>
                    <w:tr2bl w:val="nil"/>
                  </w:tcBorders>
                  <w:noWrap w:val="0"/>
                  <w:vAlign w:val="center"/>
                </w:tcPr>
                <w:p w14:paraId="6A0E10E4">
                  <w:pPr>
                    <w:jc w:val="center"/>
                    <w:rPr>
                      <w:rFonts w:hint="default" w:ascii="Times New Roman" w:hAnsi="Times New Roman" w:cs="Times New Roman"/>
                      <w:bCs/>
                      <w:sz w:val="18"/>
                      <w:szCs w:val="18"/>
                      <w:highlight w:val="none"/>
                    </w:rPr>
                  </w:pPr>
                  <w:r>
                    <w:rPr>
                      <w:rFonts w:hint="default" w:ascii="Times New Roman" w:hAnsi="Times New Roman" w:cs="Times New Roman"/>
                      <w:bCs/>
                      <w:sz w:val="18"/>
                      <w:szCs w:val="18"/>
                      <w:highlight w:val="none"/>
                    </w:rPr>
                    <w:t>达标</w:t>
                  </w:r>
                </w:p>
              </w:tc>
            </w:tr>
          </w:tbl>
          <w:p w14:paraId="560AB555">
            <w:pPr>
              <w:pStyle w:val="5"/>
              <w:spacing w:line="360" w:lineRule="auto"/>
              <w:ind w:firstLine="420" w:firstLineChars="20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经预测 ，本项厂界可满足《工业企业厂界环境噪声排放标准》（GB12348-2008）中的2类标准，敏感点可满足《声环境质量标准》（GB3096-2008）中2类标准限值要求。</w:t>
            </w:r>
          </w:p>
          <w:p w14:paraId="479B8448">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3</w:t>
            </w:r>
            <w:r>
              <w:rPr>
                <w:rFonts w:hint="default" w:ascii="Times New Roman" w:hAnsi="Times New Roman" w:cs="Times New Roman"/>
                <w:bCs/>
                <w:color w:val="auto"/>
                <w:szCs w:val="21"/>
                <w:highlight w:val="none"/>
              </w:rPr>
              <w:t>）污染防治措施及环境影响分析</w:t>
            </w:r>
          </w:p>
          <w:p w14:paraId="221F0941">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预测结果表明，选用低噪声设备，对风机、水泵等设备安装消声器、基础减振措施，锅炉房封闭隔声，</w:t>
            </w:r>
            <w:r>
              <w:rPr>
                <w:rFonts w:hint="default" w:ascii="Times New Roman" w:hAnsi="Times New Roman" w:cs="Times New Roman"/>
                <w:bCs/>
                <w:color w:val="auto"/>
                <w:szCs w:val="21"/>
                <w:highlight w:val="none"/>
                <w:lang w:eastAsia="zh-CN"/>
              </w:rPr>
              <w:t>厂界噪声</w:t>
            </w:r>
            <w:r>
              <w:rPr>
                <w:rFonts w:hint="default" w:ascii="Times New Roman" w:hAnsi="Times New Roman" w:cs="Times New Roman"/>
                <w:bCs/>
                <w:color w:val="auto"/>
                <w:szCs w:val="21"/>
                <w:highlight w:val="none"/>
              </w:rPr>
              <w:t>满足《工业企业厂界环境噪声排放标准》（GB12348-2008）中2类标准限值，敏感点噪声满足《声环境质量标准》（GB3096-2008）中2类标准，本项目对周围声环境影响较小。</w:t>
            </w:r>
          </w:p>
          <w:p w14:paraId="784AD55E">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w:t>
            </w:r>
            <w:r>
              <w:rPr>
                <w:rFonts w:hint="default" w:ascii="Times New Roman" w:hAnsi="Times New Roman" w:cs="Times New Roman"/>
                <w:bCs/>
                <w:color w:val="auto"/>
                <w:szCs w:val="21"/>
                <w:highlight w:val="none"/>
                <w:lang w:val="en-US" w:eastAsia="zh-CN"/>
              </w:rPr>
              <w:t>4</w:t>
            </w:r>
            <w:r>
              <w:rPr>
                <w:rFonts w:hint="default" w:ascii="Times New Roman" w:hAnsi="Times New Roman" w:cs="Times New Roman"/>
                <w:bCs/>
                <w:color w:val="auto"/>
                <w:szCs w:val="21"/>
                <w:highlight w:val="none"/>
              </w:rPr>
              <w:t>）监测要求</w:t>
            </w:r>
          </w:p>
          <w:p w14:paraId="24D6A04F">
            <w:pPr>
              <w:adjustRightInd w:val="0"/>
              <w:snapToGrid w:val="0"/>
              <w:spacing w:line="360" w:lineRule="auto"/>
              <w:ind w:firstLine="420" w:firstLineChars="200"/>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根据《排污单位自行监测技术指南 总则》（HJ819-2017）及《排污单位自行监测技术指南 火力发电及锅炉》（HJ820-2017），噪声监测要求详见表4-</w:t>
            </w:r>
            <w:r>
              <w:rPr>
                <w:rFonts w:hint="default" w:ascii="Times New Roman" w:hAnsi="Times New Roman" w:cs="Times New Roman"/>
                <w:bCs/>
                <w:color w:val="auto"/>
                <w:szCs w:val="21"/>
                <w:highlight w:val="none"/>
                <w:lang w:val="en-US" w:eastAsia="zh-CN"/>
              </w:rPr>
              <w:t>11</w:t>
            </w:r>
            <w:r>
              <w:rPr>
                <w:rFonts w:hint="default" w:ascii="Times New Roman" w:hAnsi="Times New Roman" w:cs="Times New Roman"/>
                <w:bCs/>
                <w:color w:val="auto"/>
                <w:szCs w:val="21"/>
                <w:highlight w:val="none"/>
              </w:rPr>
              <w:t>。</w:t>
            </w:r>
          </w:p>
          <w:p w14:paraId="5CC6E719">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
                <w:color w:val="auto"/>
                <w:szCs w:val="21"/>
                <w:highlight w:val="none"/>
              </w:rPr>
              <w:t>表4-</w:t>
            </w:r>
            <w:r>
              <w:rPr>
                <w:rFonts w:hint="default" w:ascii="Times New Roman" w:hAnsi="Times New Roman" w:cs="Times New Roman"/>
                <w:b/>
                <w:color w:val="auto"/>
                <w:szCs w:val="21"/>
                <w:highlight w:val="none"/>
                <w:lang w:val="en-US" w:eastAsia="zh-CN"/>
              </w:rPr>
              <w:t>11</w:t>
            </w:r>
            <w:r>
              <w:rPr>
                <w:rFonts w:hint="default" w:ascii="Times New Roman" w:hAnsi="Times New Roman" w:cs="Times New Roman"/>
                <w:b/>
                <w:color w:val="auto"/>
                <w:szCs w:val="21"/>
                <w:highlight w:val="none"/>
              </w:rPr>
              <w:t xml:space="preserve">  监测要求</w:t>
            </w:r>
          </w:p>
          <w:tbl>
            <w:tblPr>
              <w:tblStyle w:val="1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2013"/>
              <w:gridCol w:w="3288"/>
            </w:tblGrid>
            <w:tr w14:paraId="70C0C8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noWrap w:val="0"/>
                  <w:vAlign w:val="center"/>
                </w:tcPr>
                <w:p w14:paraId="5B062A13">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监测点位</w:t>
                  </w:r>
                </w:p>
              </w:tc>
              <w:tc>
                <w:tcPr>
                  <w:tcW w:w="1266" w:type="pct"/>
                  <w:noWrap w:val="0"/>
                  <w:vAlign w:val="center"/>
                </w:tcPr>
                <w:p w14:paraId="35D590A2">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监测频次</w:t>
                  </w:r>
                </w:p>
              </w:tc>
              <w:tc>
                <w:tcPr>
                  <w:tcW w:w="2068" w:type="pct"/>
                  <w:noWrap w:val="0"/>
                  <w:vAlign w:val="center"/>
                </w:tcPr>
                <w:p w14:paraId="3412983F">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执行标准</w:t>
                  </w:r>
                </w:p>
              </w:tc>
            </w:tr>
            <w:tr w14:paraId="0119D4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noWrap w:val="0"/>
                  <w:vAlign w:val="center"/>
                </w:tcPr>
                <w:p w14:paraId="5D097D38">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厂界四周各设置1个监测点位</w:t>
                  </w:r>
                </w:p>
              </w:tc>
              <w:tc>
                <w:tcPr>
                  <w:tcW w:w="1266" w:type="pct"/>
                  <w:noWrap w:val="0"/>
                  <w:vAlign w:val="center"/>
                </w:tcPr>
                <w:p w14:paraId="0E706B80">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lang w:val="en-US" w:eastAsia="zh-CN"/>
                    </w:rPr>
                    <w:t>1次/</w:t>
                  </w:r>
                  <w:r>
                    <w:rPr>
                      <w:rFonts w:hint="default" w:ascii="Times New Roman" w:hAnsi="Times New Roman" w:cs="Times New Roman"/>
                      <w:bCs/>
                      <w:color w:val="auto"/>
                      <w:sz w:val="18"/>
                      <w:szCs w:val="18"/>
                      <w:highlight w:val="none"/>
                    </w:rPr>
                    <w:t>季</w:t>
                  </w:r>
                </w:p>
              </w:tc>
              <w:tc>
                <w:tcPr>
                  <w:tcW w:w="2068" w:type="pct"/>
                  <w:noWrap w:val="0"/>
                  <w:vAlign w:val="center"/>
                </w:tcPr>
                <w:p w14:paraId="4EDC73C4">
                  <w:pPr>
                    <w:adjustRightInd w:val="0"/>
                    <w:snapToGrid w:val="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《工业企业厂界环境噪声排放标准》（GB12348-2008）中2类标准</w:t>
                  </w:r>
                </w:p>
              </w:tc>
            </w:tr>
          </w:tbl>
          <w:p w14:paraId="4C1BC4D8">
            <w:pPr>
              <w:adjustRightInd w:val="0"/>
              <w:snapToGrid w:val="0"/>
              <w:spacing w:line="360" w:lineRule="auto"/>
              <w:rPr>
                <w:rFonts w:hint="default" w:ascii="Times New Roman" w:hAnsi="Times New Roman" w:cs="Times New Roman"/>
                <w:b/>
                <w:color w:val="auto"/>
                <w:szCs w:val="21"/>
                <w:highlight w:val="none"/>
                <w:lang w:val="en-US" w:eastAsia="zh-CN"/>
              </w:rPr>
            </w:pPr>
          </w:p>
          <w:p w14:paraId="46A67558">
            <w:pPr>
              <w:adjustRightInd w:val="0"/>
              <w:snapToGrid w:val="0"/>
              <w:spacing w:line="360" w:lineRule="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Cs w:val="21"/>
                <w:highlight w:val="none"/>
                <w:lang w:val="en-US" w:eastAsia="zh-CN"/>
              </w:rPr>
              <w:t>4</w:t>
            </w:r>
            <w:r>
              <w:rPr>
                <w:rFonts w:hint="default" w:ascii="Times New Roman" w:hAnsi="Times New Roman" w:cs="Times New Roman"/>
                <w:b/>
                <w:color w:val="auto"/>
                <w:szCs w:val="21"/>
                <w:highlight w:val="none"/>
              </w:rPr>
              <w:t>、</w:t>
            </w:r>
            <w:r>
              <w:rPr>
                <w:rFonts w:hint="default" w:ascii="Times New Roman" w:hAnsi="Times New Roman" w:cs="Times New Roman"/>
                <w:b/>
                <w:color w:val="auto"/>
                <w:szCs w:val="21"/>
                <w:highlight w:val="none"/>
                <w:lang w:eastAsia="zh-CN"/>
              </w:rPr>
              <w:t>固体废物</w:t>
            </w:r>
          </w:p>
          <w:p w14:paraId="5BE473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员工产生的生活垃圾、软化水处理产生的废离子交换树脂、玉米皮、玉米须</w:t>
            </w:r>
            <w:r>
              <w:rPr>
                <w:rFonts w:hint="default" w:ascii="Times New Roman" w:hAnsi="Times New Roman" w:cs="Times New Roman"/>
                <w:bCs/>
                <w:sz w:val="21"/>
                <w:szCs w:val="21"/>
                <w:highlight w:val="none"/>
                <w:lang w:eastAsia="zh-CN"/>
              </w:rPr>
              <w:t>、玉米芯</w:t>
            </w:r>
            <w:r>
              <w:rPr>
                <w:rFonts w:hint="default" w:ascii="Times New Roman" w:hAnsi="Times New Roman" w:cs="Times New Roman"/>
                <w:bCs/>
                <w:sz w:val="21"/>
                <w:szCs w:val="21"/>
                <w:highlight w:val="none"/>
              </w:rPr>
              <w:t>及切端废物、锅炉灰渣</w:t>
            </w:r>
            <w:r>
              <w:rPr>
                <w:rFonts w:hint="default" w:ascii="Times New Roman" w:hAnsi="Times New Roman" w:cs="Times New Roman"/>
                <w:bCs/>
                <w:sz w:val="21"/>
                <w:szCs w:val="21"/>
                <w:highlight w:val="none"/>
                <w:lang w:eastAsia="zh-CN"/>
              </w:rPr>
              <w:t>等</w:t>
            </w:r>
            <w:r>
              <w:rPr>
                <w:rFonts w:hint="default" w:ascii="Times New Roman" w:hAnsi="Times New Roman" w:cs="Times New Roman"/>
                <w:bCs/>
                <w:sz w:val="21"/>
                <w:szCs w:val="21"/>
                <w:highlight w:val="none"/>
              </w:rPr>
              <w:t>。</w:t>
            </w:r>
          </w:p>
          <w:p w14:paraId="1CF6A9E0">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lang w:eastAsia="zh-CN"/>
              </w:rPr>
              <w:t>）生活垃圾</w:t>
            </w:r>
          </w:p>
          <w:p w14:paraId="1F4A0182">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本项目生活垃圾按照0.4kg/人•d计算</w:t>
            </w:r>
            <w:r>
              <w:rPr>
                <w:rFonts w:hint="default" w:ascii="Times New Roman" w:hAnsi="Times New Roman" w:cs="Times New Roman"/>
                <w:sz w:val="21"/>
                <w:szCs w:val="21"/>
                <w:highlight w:val="none"/>
                <w:lang w:eastAsia="zh-CN"/>
              </w:rPr>
              <w:t>：</w:t>
            </w:r>
          </w:p>
          <w:p w14:paraId="499BEE86">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运营期约</w:t>
            </w:r>
            <w:r>
              <w:rPr>
                <w:rFonts w:hint="default" w:ascii="Times New Roman" w:hAnsi="Times New Roman" w:cs="Times New Roman"/>
                <w:sz w:val="21"/>
                <w:szCs w:val="21"/>
                <w:highlight w:val="none"/>
                <w:lang w:val="en-US" w:eastAsia="zh-CN"/>
              </w:rPr>
              <w:t>40天，</w:t>
            </w:r>
            <w:r>
              <w:rPr>
                <w:rFonts w:hint="default" w:ascii="Times New Roman" w:hAnsi="Times New Roman" w:cs="Times New Roman"/>
                <w:sz w:val="21"/>
                <w:szCs w:val="21"/>
                <w:highlight w:val="none"/>
              </w:rPr>
              <w:t>职工</w:t>
            </w:r>
            <w:r>
              <w:rPr>
                <w:rFonts w:hint="default" w:ascii="Times New Roman" w:hAnsi="Times New Roman" w:cs="Times New Roman"/>
                <w:sz w:val="21"/>
                <w:szCs w:val="21"/>
                <w:highlight w:val="none"/>
                <w:lang w:val="en-US" w:eastAsia="zh-CN"/>
              </w:rPr>
              <w:t>50</w:t>
            </w:r>
            <w:r>
              <w:rPr>
                <w:rFonts w:hint="default" w:ascii="Times New Roman" w:hAnsi="Times New Roman" w:cs="Times New Roman"/>
                <w:sz w:val="21"/>
                <w:szCs w:val="21"/>
                <w:highlight w:val="none"/>
              </w:rPr>
              <w:t>人，生活垃圾量为</w:t>
            </w:r>
            <w:r>
              <w:rPr>
                <w:rFonts w:hint="default" w:ascii="Times New Roman" w:hAnsi="Times New Roman" w:cs="Times New Roman"/>
                <w:sz w:val="21"/>
                <w:szCs w:val="21"/>
                <w:highlight w:val="none"/>
                <w:lang w:val="en-US" w:eastAsia="zh-CN"/>
              </w:rPr>
              <w:t>0.8</w:t>
            </w:r>
            <w:r>
              <w:rPr>
                <w:rFonts w:hint="default" w:ascii="Times New Roman" w:hAnsi="Times New Roman" w:cs="Times New Roman"/>
                <w:sz w:val="21"/>
                <w:szCs w:val="21"/>
                <w:highlight w:val="none"/>
              </w:rPr>
              <w:t>t/a；</w:t>
            </w:r>
          </w:p>
          <w:p w14:paraId="26C5CDE3">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eastAsia="zh-CN"/>
              </w:rPr>
              <w:t>故企业每年生活垃圾产生量约为</w:t>
            </w:r>
            <w:r>
              <w:rPr>
                <w:rFonts w:hint="default" w:ascii="Times New Roman" w:hAnsi="Times New Roman" w:cs="Times New Roman"/>
                <w:sz w:val="21"/>
                <w:szCs w:val="21"/>
                <w:highlight w:val="none"/>
                <w:lang w:val="en-US" w:eastAsia="zh-CN"/>
              </w:rPr>
              <w:t>0.8t/a。</w:t>
            </w:r>
          </w:p>
          <w:p w14:paraId="7E4B5ABA">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lang w:eastAsia="zh-CN"/>
              </w:rPr>
              <w:t>）废离子交换树脂</w:t>
            </w:r>
          </w:p>
          <w:p w14:paraId="07E23F74">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软水制备系统产生的废离子交换树脂，更换周期约为1年/次，产生量为0.</w:t>
            </w:r>
            <w:r>
              <w:rPr>
                <w:rFonts w:hint="default"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t/a；</w:t>
            </w:r>
          </w:p>
          <w:p w14:paraId="5FDBAF49">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玉米皮、玉米须、玉米芯及切端废物</w:t>
            </w:r>
          </w:p>
          <w:p w14:paraId="45579F1E">
            <w:pPr>
              <w:pStyle w:val="30"/>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sz w:val="21"/>
                <w:szCs w:val="21"/>
                <w:highlight w:val="none"/>
                <w:lang w:val="en-US"/>
              </w:rPr>
            </w:pPr>
            <w:r>
              <w:rPr>
                <w:rFonts w:hint="default" w:ascii="Times New Roman" w:hAnsi="Times New Roman" w:cs="Times New Roman"/>
                <w:sz w:val="21"/>
                <w:szCs w:val="21"/>
                <w:highlight w:val="none"/>
                <w:lang w:eastAsia="zh-CN"/>
              </w:rPr>
              <w:t>生产玉米的</w:t>
            </w:r>
            <w:r>
              <w:rPr>
                <w:rFonts w:hint="default" w:ascii="Times New Roman" w:hAnsi="Times New Roman" w:cs="Times New Roman"/>
                <w:sz w:val="21"/>
                <w:szCs w:val="21"/>
                <w:highlight w:val="none"/>
                <w:lang w:val="en-US" w:eastAsia="zh-CN"/>
              </w:rPr>
              <w:t>玉米皮、玉米须、玉米芯及切端废物</w:t>
            </w:r>
            <w:r>
              <w:rPr>
                <w:rFonts w:hint="default" w:ascii="Times New Roman" w:hAnsi="Times New Roman" w:cs="Times New Roman"/>
                <w:sz w:val="21"/>
                <w:szCs w:val="21"/>
                <w:highlight w:val="none"/>
              </w:rPr>
              <w:t>产生量约为原料量10%；</w:t>
            </w:r>
            <w:r>
              <w:rPr>
                <w:rFonts w:hint="default" w:ascii="Times New Roman" w:hAnsi="Times New Roman" w:cs="Times New Roman"/>
                <w:sz w:val="21"/>
                <w:szCs w:val="21"/>
                <w:highlight w:val="none"/>
                <w:lang w:eastAsia="zh-CN"/>
              </w:rPr>
              <w:t>生产玉米原材料为</w:t>
            </w:r>
            <w:r>
              <w:rPr>
                <w:rFonts w:hint="default" w:ascii="Times New Roman" w:hAnsi="Times New Roman" w:cs="Times New Roman"/>
                <w:sz w:val="21"/>
                <w:szCs w:val="21"/>
                <w:highlight w:val="none"/>
                <w:lang w:val="en-US" w:eastAsia="zh-CN"/>
              </w:rPr>
              <w:t>2500t/a，因此生产玉米粒产生的玉米皮、玉米须、玉米芯及切端废物产生量为250t/a；</w:t>
            </w:r>
            <w:r>
              <w:rPr>
                <w:rFonts w:hint="default" w:ascii="Times New Roman" w:hAnsi="Times New Roman" w:cs="Times New Roman"/>
                <w:sz w:val="21"/>
                <w:szCs w:val="21"/>
                <w:highlight w:val="none"/>
                <w:lang w:val="en-US" w:eastAsia="zh-CN"/>
              </w:rPr>
              <w:t>贮存在灰渣间内，约15天转运1次。</w:t>
            </w:r>
          </w:p>
          <w:p w14:paraId="3C45CB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smallCaps w:val="0"/>
                <w:color w:val="auto"/>
                <w:kern w:val="0"/>
                <w:sz w:val="21"/>
                <w:szCs w:val="21"/>
                <w:highlight w:val="none"/>
                <w:lang w:val="en-US" w:eastAsia="zh-CN" w:bidi="ar-SA"/>
              </w:rPr>
            </w:pPr>
            <w:r>
              <w:rPr>
                <w:rFonts w:hint="default" w:ascii="Times New Roman" w:hAnsi="Times New Roman" w:cs="Times New Roman"/>
                <w:smallCaps w:val="0"/>
                <w:color w:val="auto"/>
                <w:kern w:val="0"/>
                <w:sz w:val="21"/>
                <w:szCs w:val="21"/>
                <w:highlight w:val="none"/>
                <w:lang w:val="en-US" w:eastAsia="zh-CN" w:bidi="ar-SA"/>
              </w:rPr>
              <w:t>（4）</w:t>
            </w:r>
            <w:r>
              <w:rPr>
                <w:rFonts w:hint="default" w:ascii="Times New Roman" w:hAnsi="Times New Roman" w:eastAsia="宋体" w:cs="Times New Roman"/>
                <w:smallCaps w:val="0"/>
                <w:color w:val="auto"/>
                <w:kern w:val="0"/>
                <w:sz w:val="21"/>
                <w:szCs w:val="21"/>
                <w:highlight w:val="none"/>
                <w:lang w:val="en-US" w:eastAsia="zh-CN" w:bidi="ar-SA"/>
              </w:rPr>
              <w:t>炉渣和布袋收尘</w:t>
            </w:r>
          </w:p>
          <w:p w14:paraId="36E70E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灰渣产生量根据《污染源源强核算技术指南锅炉》（HJ991-2018）中8. 1物料衡算法计算：</w:t>
            </w:r>
          </w:p>
          <w:p w14:paraId="2CC228A5">
            <w:pPr>
              <w:spacing w:before="125" w:line="720" w:lineRule="exact"/>
              <w:ind w:left="2590"/>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drawing>
                <wp:inline distT="0" distB="0" distL="114300" distR="114300">
                  <wp:extent cx="1860550" cy="457200"/>
                  <wp:effectExtent l="0" t="0" r="6350" b="0"/>
                  <wp:docPr id="35" name="图片 11"/>
                  <wp:cNvGraphicFramePr/>
                  <a:graphic xmlns:a="http://schemas.openxmlformats.org/drawingml/2006/main">
                    <a:graphicData uri="http://schemas.openxmlformats.org/drawingml/2006/picture">
                      <pic:pic xmlns:pic="http://schemas.openxmlformats.org/drawingml/2006/picture">
                        <pic:nvPicPr>
                          <pic:cNvPr id="35" name="图片 11"/>
                          <pic:cNvPicPr/>
                        </pic:nvPicPr>
                        <pic:blipFill>
                          <a:blip r:embed="rId24"/>
                          <a:stretch>
                            <a:fillRect/>
                          </a:stretch>
                        </pic:blipFill>
                        <pic:spPr>
                          <a:xfrm>
                            <a:off x="0" y="0"/>
                            <a:ext cx="1860550" cy="457200"/>
                          </a:xfrm>
                          <a:prstGeom prst="rect">
                            <a:avLst/>
                          </a:prstGeom>
                          <a:noFill/>
                          <a:ln>
                            <a:noFill/>
                          </a:ln>
                        </pic:spPr>
                      </pic:pic>
                    </a:graphicData>
                  </a:graphic>
                </wp:inline>
              </w:drawing>
            </w:r>
          </w:p>
          <w:p w14:paraId="0C2E1FDC">
            <w:pPr>
              <w:keepNext w:val="0"/>
              <w:keepLines w:val="0"/>
              <w:pageBreakBefore w:val="0"/>
              <w:widowControl w:val="0"/>
              <w:kinsoku/>
              <w:wordWrap/>
              <w:overflowPunct/>
              <w:topLinePunct w:val="0"/>
              <w:autoSpaceDE/>
              <w:autoSpaceDN/>
              <w:bidi w:val="0"/>
              <w:adjustRightInd/>
              <w:snapToGrid/>
              <w:spacing w:line="360" w:lineRule="auto"/>
              <w:ind w:left="53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式中：Eac---核算时段内灰渣产生量，t；</w:t>
            </w:r>
          </w:p>
          <w:p w14:paraId="1D30F486">
            <w:pPr>
              <w:keepNext w:val="0"/>
              <w:keepLines w:val="0"/>
              <w:pageBreakBefore w:val="0"/>
              <w:widowControl w:val="0"/>
              <w:kinsoku/>
              <w:wordWrap/>
              <w:overflowPunct/>
              <w:topLinePunct w:val="0"/>
              <w:autoSpaceDE/>
              <w:autoSpaceDN/>
              <w:bidi w:val="0"/>
              <w:adjustRightInd/>
              <w:snapToGrid/>
              <w:spacing w:line="360" w:lineRule="auto"/>
              <w:ind w:left="115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R----核算时段内锅炉燃料耗量，</w:t>
            </w:r>
            <w:r>
              <w:rPr>
                <w:rFonts w:hint="default" w:ascii="Times New Roman" w:hAnsi="Times New Roman" w:eastAsia="宋体" w:cs="Times New Roman"/>
                <w:smallCaps w:val="0"/>
                <w:kern w:val="0"/>
                <w:sz w:val="21"/>
                <w:szCs w:val="21"/>
                <w:highlight w:val="none"/>
                <w:lang w:val="en-US" w:eastAsia="zh-CN" w:bidi="ar-SA"/>
              </w:rPr>
              <w:t>t；</w:t>
            </w:r>
          </w:p>
          <w:p w14:paraId="23C0643E">
            <w:pPr>
              <w:keepNext w:val="0"/>
              <w:keepLines w:val="0"/>
              <w:pageBreakBefore w:val="0"/>
              <w:widowControl w:val="0"/>
              <w:kinsoku/>
              <w:wordWrap/>
              <w:overflowPunct/>
              <w:topLinePunct w:val="0"/>
              <w:autoSpaceDE/>
              <w:autoSpaceDN/>
              <w:bidi w:val="0"/>
              <w:adjustRightInd/>
              <w:snapToGrid/>
              <w:spacing w:line="360" w:lineRule="auto"/>
              <w:ind w:left="116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A</w:t>
            </w:r>
            <w:r>
              <w:rPr>
                <w:rFonts w:hint="default" w:ascii="Times New Roman" w:hAnsi="Times New Roman" w:cs="Times New Roman"/>
                <w:smallCaps w:val="0"/>
                <w:kern w:val="0"/>
                <w:sz w:val="21"/>
                <w:szCs w:val="21"/>
                <w:highlight w:val="none"/>
                <w:lang w:val="en-US" w:eastAsia="zh-CN" w:bidi="ar-SA"/>
              </w:rPr>
              <w:t>ar</w:t>
            </w:r>
            <w:r>
              <w:rPr>
                <w:rFonts w:hint="default" w:ascii="Times New Roman" w:hAnsi="Times New Roman" w:eastAsia="宋体" w:cs="Times New Roman"/>
                <w:smallCaps w:val="0"/>
                <w:kern w:val="0"/>
                <w:sz w:val="21"/>
                <w:szCs w:val="21"/>
                <w:highlight w:val="none"/>
                <w:lang w:val="en-US" w:eastAsia="zh-CN" w:bidi="ar-SA"/>
              </w:rPr>
              <w:t>--- 收到基灰分的质量分数，%；</w:t>
            </w:r>
          </w:p>
          <w:p w14:paraId="17C5A0DD">
            <w:pPr>
              <w:keepNext w:val="0"/>
              <w:keepLines w:val="0"/>
              <w:pageBreakBefore w:val="0"/>
              <w:widowControl w:val="0"/>
              <w:kinsoku/>
              <w:wordWrap/>
              <w:overflowPunct/>
              <w:topLinePunct w:val="0"/>
              <w:autoSpaceDE/>
              <w:autoSpaceDN/>
              <w:bidi w:val="0"/>
              <w:adjustRightInd/>
              <w:snapToGrid/>
              <w:spacing w:line="360" w:lineRule="auto"/>
              <w:ind w:left="114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q-----锅炉机械不完全燃烧热损失；</w:t>
            </w:r>
          </w:p>
          <w:p w14:paraId="2C95A9F1">
            <w:pPr>
              <w:keepNext w:val="0"/>
              <w:keepLines w:val="0"/>
              <w:pageBreakBefore w:val="0"/>
              <w:widowControl w:val="0"/>
              <w:kinsoku/>
              <w:wordWrap/>
              <w:overflowPunct/>
              <w:topLinePunct w:val="0"/>
              <w:autoSpaceDE/>
              <w:autoSpaceDN/>
              <w:bidi w:val="0"/>
              <w:adjustRightInd/>
              <w:snapToGrid/>
              <w:spacing w:line="360" w:lineRule="auto"/>
              <w:ind w:left="1191"/>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Q</w:t>
            </w:r>
            <w:r>
              <w:rPr>
                <w:rFonts w:hint="default" w:ascii="Times New Roman" w:hAnsi="Times New Roman" w:cs="Times New Roman"/>
                <w:smallCaps w:val="0"/>
                <w:kern w:val="0"/>
                <w:sz w:val="21"/>
                <w:szCs w:val="21"/>
                <w:highlight w:val="none"/>
                <w:lang w:val="en-US" w:eastAsia="zh-CN" w:bidi="ar-SA"/>
              </w:rPr>
              <w:t>n</w:t>
            </w:r>
            <w:r>
              <w:rPr>
                <w:rFonts w:hint="default" w:ascii="Times New Roman" w:hAnsi="Times New Roman" w:eastAsia="宋体" w:cs="Times New Roman"/>
                <w:smallCaps w:val="0"/>
                <w:kern w:val="0"/>
                <w:sz w:val="21"/>
                <w:szCs w:val="21"/>
                <w:highlight w:val="none"/>
                <w:lang w:val="en-US" w:eastAsia="zh-CN" w:bidi="ar-SA"/>
              </w:rPr>
              <w:t>etar--收到基低位发热量；</w:t>
            </w:r>
          </w:p>
          <w:p w14:paraId="1B280D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经计算，本项目灰渣的产生量为</w:t>
            </w:r>
            <w:r>
              <w:rPr>
                <w:rFonts w:hint="default" w:ascii="Times New Roman" w:hAnsi="Times New Roman" w:cs="Times New Roman"/>
                <w:smallCaps w:val="0"/>
                <w:kern w:val="0"/>
                <w:sz w:val="21"/>
                <w:szCs w:val="21"/>
                <w:highlight w:val="none"/>
                <w:lang w:val="en-US" w:eastAsia="zh-CN" w:bidi="ar-SA"/>
              </w:rPr>
              <w:t>39.73</w:t>
            </w:r>
            <w:r>
              <w:rPr>
                <w:rFonts w:hint="default" w:ascii="Times New Roman" w:hAnsi="Times New Roman" w:eastAsia="宋体" w:cs="Times New Roman"/>
                <w:smallCaps w:val="0"/>
                <w:kern w:val="0"/>
                <w:sz w:val="21"/>
                <w:szCs w:val="21"/>
                <w:highlight w:val="none"/>
                <w:lang w:val="en-US" w:eastAsia="zh-CN" w:bidi="ar-SA"/>
              </w:rPr>
              <w:t>t/a，布袋收尘量为</w:t>
            </w:r>
            <w:r>
              <w:rPr>
                <w:rFonts w:hint="default" w:ascii="Times New Roman" w:hAnsi="Times New Roman" w:cs="Times New Roman"/>
                <w:smallCaps w:val="0"/>
                <w:kern w:val="0"/>
                <w:sz w:val="21"/>
                <w:szCs w:val="21"/>
                <w:highlight w:val="none"/>
                <w:lang w:val="en-US" w:eastAsia="zh-CN" w:bidi="ar-SA"/>
              </w:rPr>
              <w:t>187.6</w:t>
            </w:r>
            <w:r>
              <w:rPr>
                <w:rFonts w:hint="default" w:ascii="Times New Roman" w:hAnsi="Times New Roman" w:eastAsia="宋体" w:cs="Times New Roman"/>
                <w:smallCaps w:val="0"/>
                <w:kern w:val="0"/>
                <w:sz w:val="21"/>
                <w:szCs w:val="21"/>
                <w:highlight w:val="none"/>
                <w:lang w:val="en-US" w:eastAsia="zh-CN" w:bidi="ar-SA"/>
              </w:rPr>
              <w:t>t/a，则炉渣量为</w:t>
            </w:r>
            <w:r>
              <w:rPr>
                <w:rFonts w:hint="default" w:ascii="Times New Roman" w:hAnsi="Times New Roman" w:cs="Times New Roman"/>
                <w:smallCaps w:val="0"/>
                <w:kern w:val="0"/>
                <w:sz w:val="21"/>
                <w:szCs w:val="21"/>
                <w:highlight w:val="none"/>
                <w:lang w:val="en-US" w:eastAsia="zh-CN" w:bidi="ar-SA"/>
              </w:rPr>
              <w:t>22.13</w:t>
            </w:r>
            <w:r>
              <w:rPr>
                <w:rFonts w:hint="default" w:ascii="Times New Roman" w:hAnsi="Times New Roman" w:eastAsia="宋体" w:cs="Times New Roman"/>
                <w:smallCaps w:val="0"/>
                <w:kern w:val="0"/>
                <w:sz w:val="21"/>
                <w:szCs w:val="21"/>
                <w:highlight w:val="none"/>
                <w:lang w:val="en-US" w:eastAsia="zh-CN" w:bidi="ar-SA"/>
              </w:rPr>
              <w:t>t/a，热风炉灰渣为一般工业固废，</w:t>
            </w:r>
            <w:r>
              <w:rPr>
                <w:rFonts w:hint="default" w:ascii="Times New Roman" w:hAnsi="Times New Roman" w:cs="Times New Roman"/>
                <w:smallCaps w:val="0"/>
                <w:kern w:val="0"/>
                <w:sz w:val="21"/>
                <w:szCs w:val="21"/>
                <w:highlight w:val="none"/>
                <w:lang w:val="en-US" w:eastAsia="zh-CN" w:bidi="ar-SA"/>
              </w:rPr>
              <w:t>贮存在灰渣间内，</w:t>
            </w:r>
            <w:r>
              <w:rPr>
                <w:rFonts w:hint="default" w:ascii="Times New Roman" w:hAnsi="Times New Roman" w:cs="Times New Roman"/>
                <w:sz w:val="21"/>
                <w:szCs w:val="21"/>
                <w:highlight w:val="none"/>
                <w:lang w:val="en-US" w:eastAsia="zh-CN"/>
              </w:rPr>
              <w:t>约</w:t>
            </w:r>
            <w:r>
              <w:rPr>
                <w:rFonts w:hint="default" w:ascii="Times New Roman" w:hAnsi="Times New Roman" w:cs="Times New Roman"/>
                <w:smallCaps w:val="0"/>
                <w:kern w:val="0"/>
                <w:sz w:val="21"/>
                <w:szCs w:val="21"/>
                <w:highlight w:val="none"/>
                <w:lang w:val="en-US" w:eastAsia="zh-CN" w:bidi="ar-SA"/>
              </w:rPr>
              <w:t>20天转运1次，</w:t>
            </w:r>
            <w:r>
              <w:rPr>
                <w:rFonts w:hint="default" w:ascii="Times New Roman" w:hAnsi="Times New Roman" w:eastAsia="宋体" w:cs="Times New Roman"/>
                <w:smallCaps w:val="0"/>
                <w:kern w:val="0"/>
                <w:sz w:val="21"/>
                <w:szCs w:val="21"/>
                <w:highlight w:val="none"/>
                <w:lang w:val="en-US" w:eastAsia="zh-CN" w:bidi="ar-SA"/>
              </w:rPr>
              <w:t>属于草木灰，含有丰富的营养成分如钾、磷、钙等，可作为肥料还田，也可作为有机肥生产原料使用，调湿后暂存于灰渣间，收集后外售，当外售不畅时无偿赠送给周围农户用于堆肥，转运时调湿并加盖苫布，杜绝扬尘。</w:t>
            </w:r>
          </w:p>
          <w:p w14:paraId="354638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mallCaps w:val="0"/>
                <w:kern w:val="0"/>
                <w:sz w:val="21"/>
                <w:szCs w:val="21"/>
                <w:highlight w:val="none"/>
                <w:lang w:val="en-US" w:eastAsia="zh-CN" w:bidi="ar-SA"/>
              </w:rPr>
            </w:pPr>
            <w:r>
              <w:rPr>
                <w:rFonts w:hint="default" w:ascii="Times New Roman" w:hAnsi="Times New Roman" w:eastAsia="宋体" w:cs="Times New Roman"/>
                <w:smallCaps w:val="0"/>
                <w:kern w:val="0"/>
                <w:sz w:val="21"/>
                <w:szCs w:val="21"/>
                <w:highlight w:val="none"/>
                <w:lang w:val="en-US" w:eastAsia="zh-CN" w:bidi="ar-SA"/>
              </w:rPr>
              <w:t>（5）废包装材料</w:t>
            </w:r>
          </w:p>
          <w:p w14:paraId="06434A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mallCaps w:val="0"/>
                <w:kern w:val="0"/>
                <w:sz w:val="21"/>
                <w:szCs w:val="21"/>
                <w:highlight w:val="none"/>
                <w:lang w:val="en-US" w:eastAsia="zh-CN" w:bidi="ar-SA"/>
              </w:rPr>
              <w:t>本项目包装</w:t>
            </w:r>
            <w:r>
              <w:rPr>
                <w:rFonts w:hint="default" w:ascii="Times New Roman" w:hAnsi="Times New Roman" w:eastAsia="宋体" w:cs="Times New Roman"/>
                <w:sz w:val="21"/>
                <w:szCs w:val="21"/>
                <w:highlight w:val="none"/>
                <w:lang w:val="en-US" w:eastAsia="zh-CN"/>
              </w:rPr>
              <w:t>过程约产生废包装材料0.5t/a，废包装材料交由原厂回收。</w:t>
            </w:r>
          </w:p>
          <w:p w14:paraId="10C00F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（6）废布袋</w:t>
            </w:r>
          </w:p>
          <w:p w14:paraId="7C6BE8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本项目定期对布袋进行检修，该过程产生废布袋0.5t/a，废布袋交由原厂回收。</w:t>
            </w:r>
          </w:p>
          <w:p w14:paraId="2CB882EA">
            <w:pPr>
              <w:jc w:val="center"/>
              <w:rPr>
                <w:rFonts w:hint="default" w:ascii="Times New Roman" w:hAnsi="Times New Roman" w:cs="Times New Roman"/>
                <w:b/>
                <w:sz w:val="21"/>
                <w:szCs w:val="21"/>
                <w:highlight w:val="none"/>
              </w:rPr>
            </w:pPr>
          </w:p>
          <w:p w14:paraId="3F06C1D8">
            <w:pPr>
              <w:jc w:val="center"/>
              <w:rPr>
                <w:rFonts w:hint="default" w:ascii="Times New Roman" w:hAnsi="Times New Roman" w:cs="Times New Roman"/>
                <w:b/>
                <w:sz w:val="21"/>
                <w:szCs w:val="21"/>
                <w:highlight w:val="none"/>
              </w:rPr>
            </w:pPr>
          </w:p>
          <w:p w14:paraId="2CA53097">
            <w:pPr>
              <w:jc w:val="center"/>
              <w:rPr>
                <w:rFonts w:hint="default" w:ascii="Times New Roman" w:hAnsi="Times New Roman" w:cs="Times New Roman"/>
                <w:b/>
                <w:sz w:val="21"/>
                <w:szCs w:val="21"/>
                <w:highlight w:val="none"/>
              </w:rPr>
            </w:pPr>
          </w:p>
          <w:p w14:paraId="7648BA9D">
            <w:pPr>
              <w:jc w:val="center"/>
              <w:rPr>
                <w:rFonts w:hint="default" w:ascii="Times New Roman" w:hAnsi="Times New Roman" w:cs="Times New Roman"/>
                <w:b/>
                <w:sz w:val="21"/>
                <w:szCs w:val="21"/>
                <w:highlight w:val="none"/>
              </w:rPr>
            </w:pPr>
          </w:p>
          <w:p w14:paraId="255637DF">
            <w:pPr>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表4-1</w:t>
            </w:r>
            <w:r>
              <w:rPr>
                <w:rFonts w:hint="default" w:ascii="Times New Roman" w:hAnsi="Times New Roman" w:cs="Times New Roman"/>
                <w:b/>
                <w:sz w:val="21"/>
                <w:szCs w:val="21"/>
                <w:highlight w:val="none"/>
                <w:lang w:val="en-US" w:eastAsia="zh-CN"/>
              </w:rPr>
              <w:t>2</w:t>
            </w:r>
            <w:r>
              <w:rPr>
                <w:rFonts w:hint="default" w:ascii="Times New Roman" w:hAnsi="Times New Roman" w:cs="Times New Roman"/>
                <w:b/>
                <w:sz w:val="21"/>
                <w:szCs w:val="21"/>
                <w:highlight w:val="none"/>
              </w:rPr>
              <w:t xml:space="preserve"> 固体废物产生情况表</w:t>
            </w:r>
          </w:p>
          <w:tbl>
            <w:tblPr>
              <w:tblStyle w:val="13"/>
              <w:tblW w:w="79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332"/>
              <w:gridCol w:w="678"/>
              <w:gridCol w:w="678"/>
              <w:gridCol w:w="771"/>
              <w:gridCol w:w="549"/>
              <w:gridCol w:w="711"/>
              <w:gridCol w:w="821"/>
              <w:gridCol w:w="1387"/>
            </w:tblGrid>
            <w:tr w14:paraId="36C43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989" w:type="dxa"/>
                  <w:tcBorders>
                    <w:top w:val="single" w:color="auto" w:sz="8" w:space="0"/>
                    <w:left w:val="nil"/>
                    <w:bottom w:val="single" w:color="auto" w:sz="4" w:space="0"/>
                    <w:right w:val="single" w:color="auto" w:sz="4" w:space="0"/>
                  </w:tcBorders>
                  <w:noWrap w:val="0"/>
                  <w:vAlign w:val="center"/>
                </w:tcPr>
                <w:p w14:paraId="0525BCCB">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产生环节</w:t>
                  </w:r>
                </w:p>
              </w:tc>
              <w:tc>
                <w:tcPr>
                  <w:tcW w:w="1332" w:type="dxa"/>
                  <w:tcBorders>
                    <w:top w:val="single" w:color="auto" w:sz="8" w:space="0"/>
                    <w:left w:val="single" w:color="auto" w:sz="4" w:space="0"/>
                    <w:bottom w:val="single" w:color="auto" w:sz="4" w:space="0"/>
                    <w:right w:val="single" w:color="auto" w:sz="4" w:space="0"/>
                  </w:tcBorders>
                  <w:noWrap w:val="0"/>
                  <w:vAlign w:val="center"/>
                </w:tcPr>
                <w:p w14:paraId="0E446B0A">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固体废物名称</w:t>
                  </w:r>
                </w:p>
              </w:tc>
              <w:tc>
                <w:tcPr>
                  <w:tcW w:w="678" w:type="dxa"/>
                  <w:tcBorders>
                    <w:top w:val="single" w:color="auto" w:sz="8" w:space="0"/>
                    <w:left w:val="single" w:color="auto" w:sz="4" w:space="0"/>
                    <w:bottom w:val="single" w:color="auto" w:sz="4" w:space="0"/>
                    <w:right w:val="single" w:color="auto" w:sz="4" w:space="0"/>
                  </w:tcBorders>
                  <w:noWrap w:val="0"/>
                  <w:vAlign w:val="center"/>
                </w:tcPr>
                <w:p w14:paraId="61E80A5D">
                  <w:pPr>
                    <w:autoSpaceDE w:val="0"/>
                    <w:autoSpaceDN w:val="0"/>
                    <w:jc w:val="center"/>
                    <w:rPr>
                      <w:rFonts w:hint="default" w:ascii="Times New Roman" w:hAnsi="Times New Roman" w:eastAsia="宋体" w:cs="Times New Roman"/>
                      <w:sz w:val="18"/>
                      <w:szCs w:val="18"/>
                      <w:highlight w:val="none"/>
                      <w:lang w:eastAsia="zh-CN"/>
                    </w:rPr>
                  </w:pPr>
                  <w:r>
                    <w:rPr>
                      <w:rFonts w:hint="default" w:ascii="Times New Roman" w:hAnsi="Times New Roman" w:cs="Times New Roman"/>
                      <w:sz w:val="18"/>
                      <w:szCs w:val="18"/>
                      <w:highlight w:val="none"/>
                      <w:lang w:eastAsia="zh-CN"/>
                    </w:rPr>
                    <w:t>固废代码</w:t>
                  </w:r>
                </w:p>
              </w:tc>
              <w:tc>
                <w:tcPr>
                  <w:tcW w:w="678" w:type="dxa"/>
                  <w:tcBorders>
                    <w:top w:val="single" w:color="auto" w:sz="8" w:space="0"/>
                    <w:left w:val="single" w:color="auto" w:sz="4" w:space="0"/>
                    <w:bottom w:val="single" w:color="auto" w:sz="4" w:space="0"/>
                    <w:right w:val="single" w:color="auto" w:sz="4" w:space="0"/>
                  </w:tcBorders>
                  <w:noWrap w:val="0"/>
                  <w:vAlign w:val="center"/>
                </w:tcPr>
                <w:p w14:paraId="36BEAAF4">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固体废物属性</w:t>
                  </w:r>
                </w:p>
              </w:tc>
              <w:tc>
                <w:tcPr>
                  <w:tcW w:w="771" w:type="dxa"/>
                  <w:tcBorders>
                    <w:top w:val="single" w:color="auto" w:sz="8" w:space="0"/>
                    <w:left w:val="single" w:color="auto" w:sz="4" w:space="0"/>
                    <w:bottom w:val="single" w:color="auto" w:sz="4" w:space="0"/>
                    <w:right w:val="single" w:color="auto" w:sz="4" w:space="0"/>
                  </w:tcBorders>
                  <w:noWrap w:val="0"/>
                  <w:vAlign w:val="center"/>
                </w:tcPr>
                <w:p w14:paraId="2076EAA0">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产生量t/a</w:t>
                  </w:r>
                </w:p>
              </w:tc>
              <w:tc>
                <w:tcPr>
                  <w:tcW w:w="549" w:type="dxa"/>
                  <w:tcBorders>
                    <w:top w:val="single" w:color="auto" w:sz="8" w:space="0"/>
                    <w:left w:val="single" w:color="auto" w:sz="4" w:space="0"/>
                    <w:bottom w:val="single" w:color="auto" w:sz="4" w:space="0"/>
                    <w:right w:val="single" w:color="auto" w:sz="4" w:space="0"/>
                  </w:tcBorders>
                  <w:noWrap w:val="0"/>
                  <w:vAlign w:val="center"/>
                </w:tcPr>
                <w:p w14:paraId="1125AE1A">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物理性状</w:t>
                  </w:r>
                </w:p>
              </w:tc>
              <w:tc>
                <w:tcPr>
                  <w:tcW w:w="711" w:type="dxa"/>
                  <w:tcBorders>
                    <w:top w:val="single" w:color="auto" w:sz="8" w:space="0"/>
                    <w:left w:val="single" w:color="auto" w:sz="4" w:space="0"/>
                    <w:bottom w:val="single" w:color="auto" w:sz="4" w:space="0"/>
                    <w:right w:val="single" w:color="auto" w:sz="4" w:space="0"/>
                  </w:tcBorders>
                  <w:noWrap w:val="0"/>
                  <w:vAlign w:val="center"/>
                </w:tcPr>
                <w:p w14:paraId="14038E7C">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贮存方式</w:t>
                  </w:r>
                </w:p>
              </w:tc>
              <w:tc>
                <w:tcPr>
                  <w:tcW w:w="821" w:type="dxa"/>
                  <w:tcBorders>
                    <w:top w:val="single" w:color="auto" w:sz="8" w:space="0"/>
                    <w:left w:val="single" w:color="auto" w:sz="4" w:space="0"/>
                    <w:bottom w:val="single" w:color="auto" w:sz="4" w:space="0"/>
                    <w:right w:val="single" w:color="auto" w:sz="4" w:space="0"/>
                  </w:tcBorders>
                  <w:noWrap w:val="0"/>
                  <w:vAlign w:val="center"/>
                </w:tcPr>
                <w:p w14:paraId="494D0A9D">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处置量t/a</w:t>
                  </w:r>
                </w:p>
              </w:tc>
              <w:tc>
                <w:tcPr>
                  <w:tcW w:w="1387" w:type="dxa"/>
                  <w:tcBorders>
                    <w:top w:val="single" w:color="auto" w:sz="8" w:space="0"/>
                    <w:left w:val="single" w:color="auto" w:sz="4" w:space="0"/>
                    <w:bottom w:val="single" w:color="auto" w:sz="4" w:space="0"/>
                    <w:right w:val="nil"/>
                  </w:tcBorders>
                  <w:noWrap w:val="0"/>
                  <w:vAlign w:val="center"/>
                </w:tcPr>
                <w:p w14:paraId="613C8D3F">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最终去向</w:t>
                  </w:r>
                </w:p>
              </w:tc>
            </w:tr>
            <w:tr w14:paraId="707FF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9" w:type="dxa"/>
                  <w:tcBorders>
                    <w:top w:val="single" w:color="auto" w:sz="4" w:space="0"/>
                    <w:left w:val="nil"/>
                    <w:bottom w:val="single" w:color="auto" w:sz="4" w:space="0"/>
                    <w:right w:val="single" w:color="auto" w:sz="4" w:space="0"/>
                  </w:tcBorders>
                  <w:noWrap w:val="0"/>
                  <w:vAlign w:val="center"/>
                </w:tcPr>
                <w:p w14:paraId="54C72E9A">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员工生活</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4C3C3AF">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生活垃圾</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4CCB445C">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900-099-S64</w:t>
                  </w:r>
                </w:p>
              </w:tc>
              <w:tc>
                <w:tcPr>
                  <w:tcW w:w="678" w:type="dxa"/>
                  <w:tcBorders>
                    <w:top w:val="single" w:color="auto" w:sz="4" w:space="0"/>
                    <w:left w:val="single" w:color="auto" w:sz="4" w:space="0"/>
                    <w:bottom w:val="single" w:color="auto" w:sz="4" w:space="0"/>
                    <w:right w:val="single" w:color="auto" w:sz="4" w:space="0"/>
                  </w:tcBorders>
                  <w:noWrap w:val="0"/>
                  <w:vAlign w:val="center"/>
                </w:tcPr>
                <w:p w14:paraId="27CD8895">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生活垃圾</w:t>
                  </w:r>
                </w:p>
              </w:tc>
              <w:tc>
                <w:tcPr>
                  <w:tcW w:w="771" w:type="dxa"/>
                  <w:tcBorders>
                    <w:top w:val="single" w:color="auto" w:sz="4" w:space="0"/>
                    <w:left w:val="single" w:color="auto" w:sz="4" w:space="0"/>
                    <w:bottom w:val="single" w:color="auto" w:sz="4" w:space="0"/>
                    <w:right w:val="single" w:color="auto" w:sz="4" w:space="0"/>
                  </w:tcBorders>
                  <w:noWrap w:val="0"/>
                  <w:vAlign w:val="center"/>
                </w:tcPr>
                <w:p w14:paraId="03B7F7B2">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0.8</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3738E100">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1511B76D">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垃圾箱</w:t>
                  </w:r>
                </w:p>
              </w:tc>
              <w:tc>
                <w:tcPr>
                  <w:tcW w:w="821" w:type="dxa"/>
                  <w:tcBorders>
                    <w:top w:val="single" w:color="auto" w:sz="4" w:space="0"/>
                    <w:left w:val="single" w:color="auto" w:sz="4" w:space="0"/>
                    <w:bottom w:val="single" w:color="auto" w:sz="4" w:space="0"/>
                    <w:right w:val="single" w:color="auto" w:sz="4" w:space="0"/>
                  </w:tcBorders>
                  <w:noWrap w:val="0"/>
                  <w:vAlign w:val="center"/>
                </w:tcPr>
                <w:p w14:paraId="1BB66CB2">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0.8</w:t>
                  </w:r>
                </w:p>
              </w:tc>
              <w:tc>
                <w:tcPr>
                  <w:tcW w:w="1387" w:type="dxa"/>
                  <w:vMerge w:val="restart"/>
                  <w:tcBorders>
                    <w:top w:val="single" w:color="auto" w:sz="4" w:space="0"/>
                    <w:left w:val="single" w:color="auto" w:sz="4" w:space="0"/>
                    <w:right w:val="nil"/>
                  </w:tcBorders>
                  <w:noWrap w:val="0"/>
                  <w:vAlign w:val="center"/>
                </w:tcPr>
                <w:p w14:paraId="57FA5D81">
                  <w:pPr>
                    <w:pStyle w:val="5"/>
                    <w:spacing w:line="240" w:lineRule="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玉米皮、玉米须</w:t>
                  </w:r>
                  <w:r>
                    <w:rPr>
                      <w:rFonts w:hint="default" w:ascii="Times New Roman" w:hAnsi="Times New Roman" w:cs="Times New Roman"/>
                      <w:sz w:val="18"/>
                      <w:szCs w:val="18"/>
                      <w:highlight w:val="none"/>
                      <w:lang w:eastAsia="zh-CN"/>
                    </w:rPr>
                    <w:t>、玉米芯及</w:t>
                  </w:r>
                  <w:r>
                    <w:rPr>
                      <w:rFonts w:hint="default" w:ascii="Times New Roman" w:hAnsi="Times New Roman" w:cs="Times New Roman"/>
                      <w:sz w:val="18"/>
                      <w:szCs w:val="18"/>
                      <w:highlight w:val="none"/>
                    </w:rPr>
                    <w:t>切端废物</w:t>
                  </w:r>
                  <w:r>
                    <w:rPr>
                      <w:rFonts w:hint="default" w:ascii="Times New Roman" w:hAnsi="Times New Roman" w:cs="Times New Roman"/>
                      <w:sz w:val="18"/>
                      <w:szCs w:val="18"/>
                      <w:highlight w:val="none"/>
                      <w:lang w:eastAsia="zh-CN"/>
                    </w:rPr>
                    <w:t>作为饲料</w:t>
                  </w:r>
                  <w:r>
                    <w:rPr>
                      <w:rFonts w:hint="default" w:ascii="Times New Roman" w:hAnsi="Times New Roman" w:cs="Times New Roman"/>
                      <w:sz w:val="18"/>
                      <w:szCs w:val="18"/>
                      <w:highlight w:val="none"/>
                    </w:rPr>
                    <w:t>外售</w:t>
                  </w:r>
                  <w:r>
                    <w:rPr>
                      <w:rFonts w:hint="default" w:ascii="Times New Roman" w:hAnsi="Times New Roman" w:cs="Times New Roman"/>
                      <w:sz w:val="18"/>
                      <w:szCs w:val="18"/>
                      <w:highlight w:val="none"/>
                      <w:lang w:eastAsia="zh-CN"/>
                    </w:rPr>
                    <w:t>综合利用</w:t>
                  </w:r>
                  <w:r>
                    <w:rPr>
                      <w:rFonts w:hint="default" w:ascii="Times New Roman" w:hAnsi="Times New Roman" w:cs="Times New Roman"/>
                      <w:sz w:val="18"/>
                      <w:szCs w:val="18"/>
                      <w:highlight w:val="none"/>
                    </w:rPr>
                    <w:t>；锅炉</w:t>
                  </w:r>
                  <w:r>
                    <w:rPr>
                      <w:rFonts w:hint="default" w:ascii="Times New Roman" w:hAnsi="Times New Roman" w:cs="Times New Roman"/>
                      <w:sz w:val="18"/>
                      <w:szCs w:val="18"/>
                      <w:highlight w:val="none"/>
                      <w:lang w:eastAsia="zh-CN"/>
                    </w:rPr>
                    <w:t>炉渣及除尘灰</w:t>
                  </w:r>
                  <w:r>
                    <w:rPr>
                      <w:rFonts w:hint="default" w:ascii="Times New Roman" w:hAnsi="Times New Roman" w:cs="Times New Roman"/>
                      <w:sz w:val="18"/>
                      <w:szCs w:val="18"/>
                      <w:highlight w:val="none"/>
                    </w:rPr>
                    <w:t>外售</w:t>
                  </w:r>
                  <w:r>
                    <w:rPr>
                      <w:rFonts w:hint="default" w:ascii="Times New Roman" w:hAnsi="Times New Roman" w:cs="Times New Roman"/>
                      <w:sz w:val="18"/>
                      <w:szCs w:val="18"/>
                      <w:highlight w:val="none"/>
                      <w:lang w:eastAsia="zh-CN"/>
                    </w:rPr>
                    <w:t>综合利用</w:t>
                  </w:r>
                  <w:r>
                    <w:rPr>
                      <w:rFonts w:hint="default" w:ascii="Times New Roman" w:hAnsi="Times New Roman" w:cs="Times New Roman"/>
                      <w:sz w:val="18"/>
                      <w:szCs w:val="18"/>
                      <w:highlight w:val="none"/>
                    </w:rPr>
                    <w:t>。生活垃圾设垃圾箱，收集后由市政环卫部门统一运至城市垃圾处理场集中处理</w:t>
                  </w:r>
                  <w:r>
                    <w:rPr>
                      <w:rFonts w:hint="default" w:ascii="Times New Roman" w:hAnsi="Times New Roman" w:cs="Times New Roman"/>
                      <w:sz w:val="18"/>
                      <w:szCs w:val="18"/>
                      <w:highlight w:val="none"/>
                      <w:lang w:eastAsia="zh-CN"/>
                    </w:rPr>
                    <w:t>，废离子交换树脂、废包装材料及废布袋交由厂家回收</w:t>
                  </w:r>
                  <w:r>
                    <w:rPr>
                      <w:rFonts w:hint="default" w:ascii="Times New Roman" w:hAnsi="Times New Roman" w:cs="Times New Roman"/>
                      <w:sz w:val="18"/>
                      <w:szCs w:val="18"/>
                      <w:highlight w:val="none"/>
                    </w:rPr>
                    <w:t>。</w:t>
                  </w:r>
                </w:p>
              </w:tc>
            </w:tr>
            <w:tr w14:paraId="5EBD4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89" w:type="dxa"/>
                  <w:tcBorders>
                    <w:top w:val="single" w:color="auto" w:sz="4" w:space="0"/>
                    <w:left w:val="nil"/>
                    <w:bottom w:val="single" w:color="auto" w:sz="4" w:space="0"/>
                    <w:right w:val="single" w:color="auto" w:sz="4" w:space="0"/>
                  </w:tcBorders>
                  <w:noWrap w:val="0"/>
                  <w:vAlign w:val="center"/>
                </w:tcPr>
                <w:p w14:paraId="79362C9C">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软化水处理工艺</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74B12802">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废离子交换树脂</w:t>
                  </w:r>
                </w:p>
              </w:tc>
              <w:tc>
                <w:tcPr>
                  <w:tcW w:w="678" w:type="dxa"/>
                  <w:tcBorders>
                    <w:top w:val="single" w:color="auto" w:sz="4" w:space="0"/>
                    <w:left w:val="single" w:color="auto" w:sz="4" w:space="0"/>
                    <w:right w:val="single" w:color="auto" w:sz="4" w:space="0"/>
                  </w:tcBorders>
                  <w:noWrap w:val="0"/>
                  <w:vAlign w:val="center"/>
                </w:tcPr>
                <w:p w14:paraId="55EEBB8D">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mallCaps w:val="0"/>
                      <w:kern w:val="0"/>
                      <w:sz w:val="18"/>
                      <w:szCs w:val="18"/>
                      <w:highlight w:val="none"/>
                      <w:lang w:val="en-US" w:eastAsia="zh-CN" w:bidi="ar-SA"/>
                    </w:rPr>
                    <w:t>900-099-S17</w:t>
                  </w:r>
                </w:p>
              </w:tc>
              <w:tc>
                <w:tcPr>
                  <w:tcW w:w="678" w:type="dxa"/>
                  <w:vMerge w:val="restart"/>
                  <w:tcBorders>
                    <w:top w:val="single" w:color="auto" w:sz="4" w:space="0"/>
                    <w:left w:val="single" w:color="auto" w:sz="4" w:space="0"/>
                    <w:right w:val="single" w:color="auto" w:sz="4" w:space="0"/>
                  </w:tcBorders>
                  <w:noWrap w:val="0"/>
                  <w:vAlign w:val="center"/>
                </w:tcPr>
                <w:p w14:paraId="48E4FEC8">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一般工业固体废物</w:t>
                  </w:r>
                </w:p>
              </w:tc>
              <w:tc>
                <w:tcPr>
                  <w:tcW w:w="771" w:type="dxa"/>
                  <w:tcBorders>
                    <w:top w:val="single" w:color="auto" w:sz="4" w:space="0"/>
                    <w:left w:val="single" w:color="auto" w:sz="4" w:space="0"/>
                    <w:bottom w:val="single" w:color="auto" w:sz="4" w:space="0"/>
                    <w:right w:val="single" w:color="auto" w:sz="4" w:space="0"/>
                  </w:tcBorders>
                  <w:noWrap w:val="0"/>
                  <w:vAlign w:val="center"/>
                </w:tcPr>
                <w:p w14:paraId="744A56EA">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0.1</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2538B562">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3B79A5F7">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袋装</w:t>
                  </w:r>
                </w:p>
              </w:tc>
              <w:tc>
                <w:tcPr>
                  <w:tcW w:w="821" w:type="dxa"/>
                  <w:tcBorders>
                    <w:top w:val="single" w:color="auto" w:sz="4" w:space="0"/>
                    <w:left w:val="single" w:color="auto" w:sz="4" w:space="0"/>
                    <w:bottom w:val="single" w:color="auto" w:sz="4" w:space="0"/>
                    <w:right w:val="single" w:color="auto" w:sz="4" w:space="0"/>
                  </w:tcBorders>
                  <w:noWrap w:val="0"/>
                  <w:vAlign w:val="center"/>
                </w:tcPr>
                <w:p w14:paraId="128A0E1B">
                  <w:pPr>
                    <w:autoSpaceDE w:val="0"/>
                    <w:autoSpaceDN w:val="0"/>
                    <w:jc w:val="center"/>
                    <w:rPr>
                      <w:rFonts w:hint="default" w:ascii="Times New Roman" w:hAnsi="Times New Roman" w:cs="Times New Roman"/>
                      <w:sz w:val="18"/>
                      <w:szCs w:val="18"/>
                      <w:highlight w:val="none"/>
                    </w:rPr>
                  </w:pPr>
                  <w:r>
                    <w:rPr>
                      <w:rFonts w:hint="default" w:ascii="Times New Roman" w:hAnsi="Times New Roman" w:eastAsia="宋体" w:cs="Times New Roman"/>
                      <w:sz w:val="18"/>
                      <w:szCs w:val="18"/>
                      <w:highlight w:val="none"/>
                      <w:lang w:val="en-US" w:eastAsia="zh-CN"/>
                    </w:rPr>
                    <w:t>0.1</w:t>
                  </w:r>
                </w:p>
              </w:tc>
              <w:tc>
                <w:tcPr>
                  <w:tcW w:w="1387" w:type="dxa"/>
                  <w:vMerge w:val="continue"/>
                  <w:tcBorders>
                    <w:left w:val="single" w:color="auto" w:sz="4" w:space="0"/>
                    <w:right w:val="nil"/>
                  </w:tcBorders>
                  <w:noWrap w:val="0"/>
                  <w:vAlign w:val="center"/>
                </w:tcPr>
                <w:p w14:paraId="52838FE4">
                  <w:pPr>
                    <w:autoSpaceDE w:val="0"/>
                    <w:autoSpaceDN w:val="0"/>
                    <w:jc w:val="center"/>
                    <w:rPr>
                      <w:rFonts w:hint="default" w:ascii="Times New Roman" w:hAnsi="Times New Roman" w:cs="Times New Roman"/>
                      <w:sz w:val="18"/>
                      <w:szCs w:val="18"/>
                      <w:highlight w:val="none"/>
                    </w:rPr>
                  </w:pPr>
                </w:p>
              </w:tc>
            </w:tr>
            <w:tr w14:paraId="65BED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989" w:type="dxa"/>
                  <w:tcBorders>
                    <w:top w:val="single" w:color="auto" w:sz="4" w:space="0"/>
                    <w:left w:val="nil"/>
                    <w:bottom w:val="single" w:color="auto" w:sz="4" w:space="0"/>
                    <w:right w:val="single" w:color="auto" w:sz="4" w:space="0"/>
                  </w:tcBorders>
                  <w:noWrap w:val="0"/>
                  <w:vAlign w:val="center"/>
                </w:tcPr>
                <w:p w14:paraId="1C49DEC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玉米剥皮工艺</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E71343A">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玉米皮、玉米须</w:t>
                  </w:r>
                  <w:r>
                    <w:rPr>
                      <w:rFonts w:hint="default" w:ascii="Times New Roman" w:hAnsi="Times New Roman" w:cs="Times New Roman"/>
                      <w:sz w:val="18"/>
                      <w:szCs w:val="18"/>
                      <w:highlight w:val="none"/>
                      <w:lang w:eastAsia="zh-CN"/>
                    </w:rPr>
                    <w:t>、玉米芯及</w:t>
                  </w:r>
                  <w:r>
                    <w:rPr>
                      <w:rFonts w:hint="default" w:ascii="Times New Roman" w:hAnsi="Times New Roman" w:cs="Times New Roman"/>
                      <w:sz w:val="18"/>
                      <w:szCs w:val="18"/>
                      <w:highlight w:val="none"/>
                    </w:rPr>
                    <w:t>切端废物</w:t>
                  </w:r>
                </w:p>
              </w:tc>
              <w:tc>
                <w:tcPr>
                  <w:tcW w:w="678" w:type="dxa"/>
                  <w:tcBorders>
                    <w:left w:val="single" w:color="auto" w:sz="4" w:space="0"/>
                    <w:right w:val="single" w:color="auto" w:sz="4" w:space="0"/>
                  </w:tcBorders>
                  <w:noWrap w:val="0"/>
                  <w:vAlign w:val="center"/>
                </w:tcPr>
                <w:p w14:paraId="210CB94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mallCaps w:val="0"/>
                      <w:kern w:val="0"/>
                      <w:sz w:val="18"/>
                      <w:szCs w:val="18"/>
                      <w:highlight w:val="none"/>
                      <w:lang w:val="en-US" w:eastAsia="zh-CN" w:bidi="ar-SA"/>
                    </w:rPr>
                    <w:t>900-099-S59</w:t>
                  </w:r>
                </w:p>
              </w:tc>
              <w:tc>
                <w:tcPr>
                  <w:tcW w:w="678" w:type="dxa"/>
                  <w:vMerge w:val="continue"/>
                  <w:tcBorders>
                    <w:left w:val="single" w:color="auto" w:sz="4" w:space="0"/>
                    <w:right w:val="single" w:color="auto" w:sz="4" w:space="0"/>
                  </w:tcBorders>
                  <w:noWrap w:val="0"/>
                  <w:vAlign w:val="center"/>
                </w:tcPr>
                <w:p w14:paraId="48A9A9D6">
                  <w:pPr>
                    <w:autoSpaceDE w:val="0"/>
                    <w:autoSpaceDN w:val="0"/>
                    <w:jc w:val="center"/>
                    <w:rPr>
                      <w:rFonts w:hint="default" w:ascii="Times New Roman" w:hAnsi="Times New Roman" w:cs="Times New Roman"/>
                      <w:sz w:val="18"/>
                      <w:szCs w:val="18"/>
                      <w:highlight w:val="none"/>
                    </w:rPr>
                  </w:pPr>
                </w:p>
              </w:tc>
              <w:tc>
                <w:tcPr>
                  <w:tcW w:w="771" w:type="dxa"/>
                  <w:tcBorders>
                    <w:top w:val="single" w:color="auto" w:sz="4" w:space="0"/>
                    <w:left w:val="single" w:color="auto" w:sz="4" w:space="0"/>
                    <w:right w:val="single" w:color="auto" w:sz="4" w:space="0"/>
                  </w:tcBorders>
                  <w:noWrap w:val="0"/>
                  <w:vAlign w:val="center"/>
                </w:tcPr>
                <w:p w14:paraId="112B611A">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250</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276C87E2">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5392070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袋装</w:t>
                  </w:r>
                </w:p>
              </w:tc>
              <w:tc>
                <w:tcPr>
                  <w:tcW w:w="821" w:type="dxa"/>
                  <w:tcBorders>
                    <w:top w:val="single" w:color="auto" w:sz="4" w:space="0"/>
                    <w:left w:val="single" w:color="auto" w:sz="4" w:space="0"/>
                    <w:right w:val="single" w:color="auto" w:sz="4" w:space="0"/>
                  </w:tcBorders>
                  <w:noWrap w:val="0"/>
                  <w:vAlign w:val="center"/>
                </w:tcPr>
                <w:p w14:paraId="03F3E598">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250</w:t>
                  </w:r>
                </w:p>
              </w:tc>
              <w:tc>
                <w:tcPr>
                  <w:tcW w:w="1387" w:type="dxa"/>
                  <w:vMerge w:val="continue"/>
                  <w:tcBorders>
                    <w:left w:val="single" w:color="auto" w:sz="4" w:space="0"/>
                    <w:right w:val="nil"/>
                  </w:tcBorders>
                  <w:noWrap w:val="0"/>
                  <w:vAlign w:val="center"/>
                </w:tcPr>
                <w:p w14:paraId="4F5CC789">
                  <w:pPr>
                    <w:autoSpaceDE w:val="0"/>
                    <w:autoSpaceDN w:val="0"/>
                    <w:jc w:val="center"/>
                    <w:rPr>
                      <w:rFonts w:hint="default" w:ascii="Times New Roman" w:hAnsi="Times New Roman" w:cs="Times New Roman"/>
                      <w:sz w:val="18"/>
                      <w:szCs w:val="18"/>
                      <w:highlight w:val="none"/>
                    </w:rPr>
                  </w:pPr>
                </w:p>
              </w:tc>
            </w:tr>
            <w:tr w14:paraId="31542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89" w:type="dxa"/>
                  <w:tcBorders>
                    <w:top w:val="single" w:color="auto" w:sz="4" w:space="0"/>
                    <w:left w:val="nil"/>
                    <w:bottom w:val="single" w:color="auto" w:sz="4" w:space="0"/>
                    <w:right w:val="single" w:color="auto" w:sz="4" w:space="0"/>
                  </w:tcBorders>
                  <w:noWrap w:val="0"/>
                  <w:vAlign w:val="center"/>
                </w:tcPr>
                <w:p w14:paraId="10E95E83">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生物质</w:t>
                  </w:r>
                </w:p>
                <w:p w14:paraId="6F50A71A">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锅炉</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7311805">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bCs/>
                      <w:sz w:val="18"/>
                      <w:szCs w:val="18"/>
                      <w:highlight w:val="none"/>
                    </w:rPr>
                    <w:t>灰渣</w:t>
                  </w:r>
                </w:p>
              </w:tc>
              <w:tc>
                <w:tcPr>
                  <w:tcW w:w="678" w:type="dxa"/>
                  <w:tcBorders>
                    <w:left w:val="single" w:color="auto" w:sz="4" w:space="0"/>
                    <w:right w:val="single" w:color="auto" w:sz="4" w:space="0"/>
                  </w:tcBorders>
                  <w:noWrap w:val="0"/>
                  <w:vAlign w:val="center"/>
                </w:tcPr>
                <w:p w14:paraId="3C538146">
                  <w:pPr>
                    <w:autoSpaceDE w:val="0"/>
                    <w:autoSpaceDN w:val="0"/>
                    <w:jc w:val="center"/>
                    <w:rPr>
                      <w:rFonts w:hint="default" w:ascii="Times New Roman" w:hAnsi="Times New Roman" w:cs="Times New Roman"/>
                      <w:sz w:val="18"/>
                      <w:szCs w:val="18"/>
                      <w:highlight w:val="none"/>
                    </w:rPr>
                  </w:pPr>
                  <w:r>
                    <w:rPr>
                      <w:rFonts w:hint="default" w:ascii="Times New Roman" w:hAnsi="Times New Roman" w:eastAsia="宋体" w:cs="Times New Roman"/>
                      <w:smallCaps w:val="0"/>
                      <w:kern w:val="0"/>
                      <w:sz w:val="18"/>
                      <w:szCs w:val="18"/>
                      <w:highlight w:val="none"/>
                      <w:lang w:val="en-US" w:eastAsia="zh-CN" w:bidi="ar-SA"/>
                    </w:rPr>
                    <w:t>900-099-S03</w:t>
                  </w:r>
                </w:p>
              </w:tc>
              <w:tc>
                <w:tcPr>
                  <w:tcW w:w="678" w:type="dxa"/>
                  <w:vMerge w:val="continue"/>
                  <w:tcBorders>
                    <w:left w:val="single" w:color="auto" w:sz="4" w:space="0"/>
                    <w:right w:val="single" w:color="auto" w:sz="4" w:space="0"/>
                  </w:tcBorders>
                  <w:noWrap w:val="0"/>
                  <w:vAlign w:val="center"/>
                </w:tcPr>
                <w:p w14:paraId="69BBEC28">
                  <w:pPr>
                    <w:autoSpaceDE w:val="0"/>
                    <w:autoSpaceDN w:val="0"/>
                    <w:jc w:val="center"/>
                    <w:rPr>
                      <w:rFonts w:hint="default" w:ascii="Times New Roman" w:hAnsi="Times New Roman" w:cs="Times New Roman"/>
                      <w:sz w:val="18"/>
                      <w:szCs w:val="18"/>
                      <w:highlight w:val="none"/>
                    </w:rPr>
                  </w:pPr>
                </w:p>
              </w:tc>
              <w:tc>
                <w:tcPr>
                  <w:tcW w:w="771" w:type="dxa"/>
                  <w:tcBorders>
                    <w:left w:val="single" w:color="auto" w:sz="4" w:space="0"/>
                    <w:right w:val="single" w:color="auto" w:sz="4" w:space="0"/>
                  </w:tcBorders>
                  <w:noWrap w:val="0"/>
                  <w:vAlign w:val="center"/>
                </w:tcPr>
                <w:p w14:paraId="562E048E">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22.13</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1519C998">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03738AC4">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袋装</w:t>
                  </w:r>
                </w:p>
              </w:tc>
              <w:tc>
                <w:tcPr>
                  <w:tcW w:w="821" w:type="dxa"/>
                  <w:tcBorders>
                    <w:left w:val="single" w:color="auto" w:sz="4" w:space="0"/>
                    <w:right w:val="single" w:color="auto" w:sz="4" w:space="0"/>
                  </w:tcBorders>
                  <w:noWrap w:val="0"/>
                  <w:vAlign w:val="center"/>
                </w:tcPr>
                <w:p w14:paraId="1B43EBE9">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22.13</w:t>
                  </w:r>
                </w:p>
              </w:tc>
              <w:tc>
                <w:tcPr>
                  <w:tcW w:w="1387" w:type="dxa"/>
                  <w:vMerge w:val="continue"/>
                  <w:tcBorders>
                    <w:left w:val="single" w:color="auto" w:sz="4" w:space="0"/>
                    <w:right w:val="nil"/>
                  </w:tcBorders>
                  <w:noWrap w:val="0"/>
                  <w:vAlign w:val="center"/>
                </w:tcPr>
                <w:p w14:paraId="0C4C0F97">
                  <w:pPr>
                    <w:autoSpaceDE w:val="0"/>
                    <w:autoSpaceDN w:val="0"/>
                    <w:jc w:val="center"/>
                    <w:rPr>
                      <w:rFonts w:hint="default" w:ascii="Times New Roman" w:hAnsi="Times New Roman" w:cs="Times New Roman"/>
                      <w:sz w:val="18"/>
                      <w:szCs w:val="18"/>
                      <w:highlight w:val="none"/>
                    </w:rPr>
                  </w:pPr>
                </w:p>
              </w:tc>
            </w:tr>
            <w:tr w14:paraId="402BF3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89" w:type="dxa"/>
                  <w:tcBorders>
                    <w:top w:val="single" w:color="auto" w:sz="4" w:space="0"/>
                    <w:left w:val="nil"/>
                    <w:bottom w:val="single" w:color="auto" w:sz="4" w:space="0"/>
                    <w:right w:val="single" w:color="auto" w:sz="4" w:space="0"/>
                  </w:tcBorders>
                  <w:noWrap w:val="0"/>
                  <w:vAlign w:val="center"/>
                </w:tcPr>
                <w:p w14:paraId="476FF96B">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旋风+</w:t>
                  </w:r>
                  <w:r>
                    <w:rPr>
                      <w:rFonts w:hint="default" w:ascii="Times New Roman" w:hAnsi="Times New Roman" w:eastAsia="宋体" w:cs="Times New Roman"/>
                      <w:sz w:val="18"/>
                      <w:szCs w:val="18"/>
                      <w:highlight w:val="none"/>
                      <w:lang w:val="en-US" w:eastAsia="zh-CN"/>
                    </w:rPr>
                    <w:t>布袋除尘器</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6D53AB01">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bCs/>
                      <w:sz w:val="18"/>
                      <w:szCs w:val="18"/>
                      <w:highlight w:val="none"/>
                      <w:lang w:eastAsia="zh-CN"/>
                    </w:rPr>
                    <w:t>收尘</w:t>
                  </w:r>
                </w:p>
              </w:tc>
              <w:tc>
                <w:tcPr>
                  <w:tcW w:w="678" w:type="dxa"/>
                  <w:tcBorders>
                    <w:left w:val="single" w:color="auto" w:sz="4" w:space="0"/>
                    <w:right w:val="single" w:color="auto" w:sz="4" w:space="0"/>
                  </w:tcBorders>
                  <w:noWrap w:val="0"/>
                  <w:vAlign w:val="center"/>
                </w:tcPr>
                <w:p w14:paraId="3F70CE70">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mallCaps w:val="0"/>
                      <w:kern w:val="0"/>
                      <w:sz w:val="18"/>
                      <w:szCs w:val="18"/>
                      <w:highlight w:val="none"/>
                      <w:lang w:val="en-US" w:eastAsia="zh-CN" w:bidi="ar-SA"/>
                    </w:rPr>
                    <w:t>900-001-S02</w:t>
                  </w:r>
                </w:p>
              </w:tc>
              <w:tc>
                <w:tcPr>
                  <w:tcW w:w="678" w:type="dxa"/>
                  <w:vMerge w:val="continue"/>
                  <w:tcBorders>
                    <w:left w:val="single" w:color="auto" w:sz="4" w:space="0"/>
                    <w:right w:val="single" w:color="auto" w:sz="4" w:space="0"/>
                  </w:tcBorders>
                  <w:noWrap w:val="0"/>
                  <w:vAlign w:val="center"/>
                </w:tcPr>
                <w:p w14:paraId="05276052">
                  <w:pPr>
                    <w:autoSpaceDE w:val="0"/>
                    <w:autoSpaceDN w:val="0"/>
                    <w:jc w:val="center"/>
                    <w:rPr>
                      <w:rFonts w:hint="default" w:ascii="Times New Roman" w:hAnsi="Times New Roman" w:cs="Times New Roman"/>
                      <w:sz w:val="18"/>
                      <w:szCs w:val="18"/>
                      <w:highlight w:val="none"/>
                    </w:rPr>
                  </w:pPr>
                </w:p>
              </w:tc>
              <w:tc>
                <w:tcPr>
                  <w:tcW w:w="771" w:type="dxa"/>
                  <w:tcBorders>
                    <w:left w:val="single" w:color="auto" w:sz="4" w:space="0"/>
                    <w:right w:val="single" w:color="auto" w:sz="4" w:space="0"/>
                  </w:tcBorders>
                  <w:noWrap w:val="0"/>
                  <w:vAlign w:val="center"/>
                </w:tcPr>
                <w:p w14:paraId="337081C1">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17.6</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15FA48DB">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7C499E96">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袋装</w:t>
                  </w:r>
                </w:p>
              </w:tc>
              <w:tc>
                <w:tcPr>
                  <w:tcW w:w="821" w:type="dxa"/>
                  <w:tcBorders>
                    <w:left w:val="single" w:color="auto" w:sz="4" w:space="0"/>
                    <w:right w:val="single" w:color="auto" w:sz="4" w:space="0"/>
                  </w:tcBorders>
                  <w:noWrap w:val="0"/>
                  <w:vAlign w:val="center"/>
                </w:tcPr>
                <w:p w14:paraId="5D805DC8">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17.6</w:t>
                  </w:r>
                </w:p>
              </w:tc>
              <w:tc>
                <w:tcPr>
                  <w:tcW w:w="1387" w:type="dxa"/>
                  <w:vMerge w:val="continue"/>
                  <w:tcBorders>
                    <w:left w:val="single" w:color="auto" w:sz="4" w:space="0"/>
                    <w:right w:val="nil"/>
                  </w:tcBorders>
                  <w:noWrap w:val="0"/>
                  <w:vAlign w:val="center"/>
                </w:tcPr>
                <w:p w14:paraId="50F95A2F">
                  <w:pPr>
                    <w:autoSpaceDE w:val="0"/>
                    <w:autoSpaceDN w:val="0"/>
                    <w:jc w:val="center"/>
                    <w:rPr>
                      <w:rFonts w:hint="default" w:ascii="Times New Roman" w:hAnsi="Times New Roman" w:cs="Times New Roman"/>
                      <w:sz w:val="18"/>
                      <w:szCs w:val="18"/>
                      <w:highlight w:val="none"/>
                    </w:rPr>
                  </w:pPr>
                </w:p>
              </w:tc>
            </w:tr>
            <w:tr w14:paraId="4B781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9" w:type="dxa"/>
                  <w:tcBorders>
                    <w:top w:val="single" w:color="auto" w:sz="4" w:space="0"/>
                    <w:left w:val="nil"/>
                    <w:bottom w:val="single" w:color="auto" w:sz="4" w:space="0"/>
                    <w:right w:val="single" w:color="auto" w:sz="4" w:space="0"/>
                  </w:tcBorders>
                  <w:noWrap w:val="0"/>
                  <w:vAlign w:val="center"/>
                </w:tcPr>
                <w:p w14:paraId="0D9C3AF8">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包装</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B87181B">
                  <w:pPr>
                    <w:jc w:val="center"/>
                    <w:rPr>
                      <w:rFonts w:hint="default" w:ascii="Times New Roman" w:hAnsi="Times New Roman" w:cs="Times New Roman"/>
                      <w:bCs/>
                      <w:sz w:val="18"/>
                      <w:szCs w:val="18"/>
                      <w:highlight w:val="none"/>
                      <w:lang w:eastAsia="zh-CN"/>
                    </w:rPr>
                  </w:pPr>
                  <w:r>
                    <w:rPr>
                      <w:rFonts w:hint="default" w:ascii="Times New Roman" w:hAnsi="Times New Roman" w:eastAsia="宋体" w:cs="Times New Roman"/>
                      <w:sz w:val="18"/>
                      <w:szCs w:val="18"/>
                      <w:highlight w:val="none"/>
                      <w:lang w:val="en-US" w:eastAsia="zh-CN"/>
                    </w:rPr>
                    <w:t>废包装材料</w:t>
                  </w:r>
                </w:p>
              </w:tc>
              <w:tc>
                <w:tcPr>
                  <w:tcW w:w="678" w:type="dxa"/>
                  <w:tcBorders>
                    <w:left w:val="single" w:color="auto" w:sz="4" w:space="0"/>
                    <w:right w:val="single" w:color="auto" w:sz="4" w:space="0"/>
                  </w:tcBorders>
                  <w:noWrap w:val="0"/>
                  <w:vAlign w:val="center"/>
                </w:tcPr>
                <w:p w14:paraId="76DFFC88">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900-003-S17</w:t>
                  </w:r>
                </w:p>
              </w:tc>
              <w:tc>
                <w:tcPr>
                  <w:tcW w:w="678" w:type="dxa"/>
                  <w:vMerge w:val="continue"/>
                  <w:tcBorders>
                    <w:left w:val="single" w:color="auto" w:sz="4" w:space="0"/>
                    <w:right w:val="single" w:color="auto" w:sz="4" w:space="0"/>
                  </w:tcBorders>
                  <w:noWrap w:val="0"/>
                  <w:vAlign w:val="center"/>
                </w:tcPr>
                <w:p w14:paraId="52EC16A0">
                  <w:pPr>
                    <w:autoSpaceDE w:val="0"/>
                    <w:autoSpaceDN w:val="0"/>
                    <w:jc w:val="center"/>
                    <w:rPr>
                      <w:rFonts w:hint="default" w:ascii="Times New Roman" w:hAnsi="Times New Roman" w:cs="Times New Roman"/>
                      <w:sz w:val="18"/>
                      <w:szCs w:val="18"/>
                      <w:highlight w:val="none"/>
                    </w:rPr>
                  </w:pPr>
                </w:p>
              </w:tc>
              <w:tc>
                <w:tcPr>
                  <w:tcW w:w="771" w:type="dxa"/>
                  <w:tcBorders>
                    <w:left w:val="single" w:color="auto" w:sz="4" w:space="0"/>
                    <w:right w:val="single" w:color="auto" w:sz="4" w:space="0"/>
                  </w:tcBorders>
                  <w:noWrap w:val="0"/>
                  <w:vAlign w:val="center"/>
                </w:tcPr>
                <w:p w14:paraId="79B73099">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0.5</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3ED867FE">
                  <w:pPr>
                    <w:autoSpaceDE w:val="0"/>
                    <w:autoSpaceDN w:val="0"/>
                    <w:jc w:val="center"/>
                    <w:rPr>
                      <w:rFonts w:hint="default" w:ascii="Times New Roman" w:hAnsi="Times New Roman" w:cs="Times New Roman"/>
                      <w:kern w:val="2"/>
                      <w:sz w:val="18"/>
                      <w:szCs w:val="18"/>
                      <w:highlight w:val="none"/>
                      <w:lang w:val="en-US" w:eastAsia="zh-CN" w:bidi="ar-SA"/>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7A4F2439">
                  <w:pPr>
                    <w:autoSpaceDE w:val="0"/>
                    <w:autoSpaceDN w:val="0"/>
                    <w:jc w:val="center"/>
                    <w:rPr>
                      <w:rFonts w:hint="default" w:ascii="Times New Roman" w:hAnsi="Times New Roman" w:cs="Times New Roman"/>
                      <w:kern w:val="2"/>
                      <w:sz w:val="18"/>
                      <w:szCs w:val="18"/>
                      <w:highlight w:val="none"/>
                      <w:lang w:val="en-US" w:eastAsia="zh-CN" w:bidi="ar-SA"/>
                    </w:rPr>
                  </w:pPr>
                  <w:r>
                    <w:rPr>
                      <w:rFonts w:hint="default" w:ascii="Times New Roman" w:hAnsi="Times New Roman" w:cs="Times New Roman"/>
                      <w:sz w:val="18"/>
                      <w:szCs w:val="18"/>
                      <w:highlight w:val="none"/>
                    </w:rPr>
                    <w:t>袋装</w:t>
                  </w:r>
                </w:p>
              </w:tc>
              <w:tc>
                <w:tcPr>
                  <w:tcW w:w="821" w:type="dxa"/>
                  <w:tcBorders>
                    <w:left w:val="single" w:color="auto" w:sz="4" w:space="0"/>
                    <w:right w:val="single" w:color="auto" w:sz="4" w:space="0"/>
                  </w:tcBorders>
                  <w:noWrap w:val="0"/>
                  <w:vAlign w:val="center"/>
                </w:tcPr>
                <w:p w14:paraId="2E179C82">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0.5</w:t>
                  </w:r>
                </w:p>
              </w:tc>
              <w:tc>
                <w:tcPr>
                  <w:tcW w:w="1387" w:type="dxa"/>
                  <w:vMerge w:val="continue"/>
                  <w:tcBorders>
                    <w:left w:val="single" w:color="auto" w:sz="4" w:space="0"/>
                    <w:right w:val="nil"/>
                  </w:tcBorders>
                  <w:noWrap w:val="0"/>
                  <w:vAlign w:val="center"/>
                </w:tcPr>
                <w:p w14:paraId="255A20C5">
                  <w:pPr>
                    <w:autoSpaceDE w:val="0"/>
                    <w:autoSpaceDN w:val="0"/>
                    <w:jc w:val="center"/>
                    <w:rPr>
                      <w:rFonts w:hint="default" w:ascii="Times New Roman" w:hAnsi="Times New Roman" w:cs="Times New Roman"/>
                      <w:sz w:val="18"/>
                      <w:szCs w:val="18"/>
                      <w:highlight w:val="none"/>
                    </w:rPr>
                  </w:pPr>
                </w:p>
              </w:tc>
            </w:tr>
            <w:tr w14:paraId="1EC12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989" w:type="dxa"/>
                  <w:tcBorders>
                    <w:top w:val="single" w:color="auto" w:sz="4" w:space="0"/>
                    <w:left w:val="nil"/>
                    <w:bottom w:val="single" w:color="auto" w:sz="4" w:space="0"/>
                    <w:right w:val="single" w:color="auto" w:sz="4" w:space="0"/>
                  </w:tcBorders>
                  <w:noWrap w:val="0"/>
                  <w:vAlign w:val="center"/>
                </w:tcPr>
                <w:p w14:paraId="31F8F8E8">
                  <w:pPr>
                    <w:autoSpaceDE w:val="0"/>
                    <w:autoSpaceDN w:val="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锅炉</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DCB32A6">
                  <w:pPr>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废布袋</w:t>
                  </w:r>
                </w:p>
              </w:tc>
              <w:tc>
                <w:tcPr>
                  <w:tcW w:w="678" w:type="dxa"/>
                  <w:tcBorders>
                    <w:left w:val="single" w:color="auto" w:sz="4" w:space="0"/>
                    <w:right w:val="single" w:color="auto" w:sz="4" w:space="0"/>
                  </w:tcBorders>
                  <w:noWrap w:val="0"/>
                  <w:vAlign w:val="center"/>
                </w:tcPr>
                <w:p w14:paraId="07E6DF60">
                  <w:pPr>
                    <w:autoSpaceDE w:val="0"/>
                    <w:autoSpaceDN w:val="0"/>
                    <w:jc w:val="center"/>
                    <w:rPr>
                      <w:rFonts w:hint="default" w:ascii="Times New Roman" w:hAnsi="Times New Roman" w:cs="Times New Roman"/>
                      <w:sz w:val="18"/>
                      <w:szCs w:val="18"/>
                      <w:highlight w:val="none"/>
                    </w:rPr>
                  </w:pPr>
                  <w:r>
                    <w:rPr>
                      <w:rFonts w:hint="default" w:ascii="Times New Roman" w:hAnsi="Times New Roman" w:cs="Times New Roman"/>
                      <w:smallCaps w:val="0"/>
                      <w:kern w:val="0"/>
                      <w:sz w:val="18"/>
                      <w:szCs w:val="18"/>
                      <w:highlight w:val="none"/>
                      <w:lang w:val="en-US" w:eastAsia="zh-CN" w:bidi="ar-SA"/>
                    </w:rPr>
                    <w:t>900-009-S59</w:t>
                  </w:r>
                </w:p>
              </w:tc>
              <w:tc>
                <w:tcPr>
                  <w:tcW w:w="678" w:type="dxa"/>
                  <w:vMerge w:val="continue"/>
                  <w:tcBorders>
                    <w:left w:val="single" w:color="auto" w:sz="4" w:space="0"/>
                    <w:right w:val="single" w:color="auto" w:sz="4" w:space="0"/>
                  </w:tcBorders>
                  <w:noWrap w:val="0"/>
                  <w:vAlign w:val="center"/>
                </w:tcPr>
                <w:p w14:paraId="7D32C728">
                  <w:pPr>
                    <w:autoSpaceDE w:val="0"/>
                    <w:autoSpaceDN w:val="0"/>
                    <w:jc w:val="center"/>
                    <w:rPr>
                      <w:rFonts w:hint="default" w:ascii="Times New Roman" w:hAnsi="Times New Roman" w:cs="Times New Roman"/>
                      <w:sz w:val="18"/>
                      <w:szCs w:val="18"/>
                      <w:highlight w:val="none"/>
                    </w:rPr>
                  </w:pPr>
                </w:p>
              </w:tc>
              <w:tc>
                <w:tcPr>
                  <w:tcW w:w="771" w:type="dxa"/>
                  <w:tcBorders>
                    <w:left w:val="single" w:color="auto" w:sz="4" w:space="0"/>
                    <w:right w:val="single" w:color="auto" w:sz="4" w:space="0"/>
                  </w:tcBorders>
                  <w:noWrap w:val="0"/>
                  <w:vAlign w:val="center"/>
                </w:tcPr>
                <w:p w14:paraId="13D816B3">
                  <w:pPr>
                    <w:autoSpaceDE w:val="0"/>
                    <w:autoSpaceDN w:val="0"/>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0.5</w:t>
                  </w:r>
                </w:p>
              </w:tc>
              <w:tc>
                <w:tcPr>
                  <w:tcW w:w="549" w:type="dxa"/>
                  <w:tcBorders>
                    <w:top w:val="single" w:color="auto" w:sz="4" w:space="0"/>
                    <w:left w:val="single" w:color="auto" w:sz="4" w:space="0"/>
                    <w:bottom w:val="single" w:color="auto" w:sz="4" w:space="0"/>
                    <w:right w:val="single" w:color="auto" w:sz="4" w:space="0"/>
                  </w:tcBorders>
                  <w:noWrap w:val="0"/>
                  <w:vAlign w:val="center"/>
                </w:tcPr>
                <w:p w14:paraId="5D6B7CC0">
                  <w:pPr>
                    <w:autoSpaceDE w:val="0"/>
                    <w:autoSpaceDN w:val="0"/>
                    <w:jc w:val="center"/>
                    <w:rPr>
                      <w:rFonts w:hint="default" w:ascii="Times New Roman" w:hAnsi="Times New Roman" w:cs="Times New Roman"/>
                      <w:kern w:val="2"/>
                      <w:sz w:val="18"/>
                      <w:szCs w:val="18"/>
                      <w:highlight w:val="none"/>
                      <w:lang w:val="en-US" w:eastAsia="zh-CN" w:bidi="ar-SA"/>
                    </w:rPr>
                  </w:pPr>
                  <w:r>
                    <w:rPr>
                      <w:rFonts w:hint="default" w:ascii="Times New Roman" w:hAnsi="Times New Roman" w:cs="Times New Roman"/>
                      <w:sz w:val="18"/>
                      <w:szCs w:val="18"/>
                      <w:highlight w:val="none"/>
                    </w:rPr>
                    <w:t>固</w:t>
                  </w:r>
                </w:p>
              </w:tc>
              <w:tc>
                <w:tcPr>
                  <w:tcW w:w="711" w:type="dxa"/>
                  <w:tcBorders>
                    <w:top w:val="single" w:color="auto" w:sz="4" w:space="0"/>
                    <w:left w:val="single" w:color="auto" w:sz="4" w:space="0"/>
                    <w:bottom w:val="single" w:color="auto" w:sz="4" w:space="0"/>
                    <w:right w:val="single" w:color="auto" w:sz="4" w:space="0"/>
                  </w:tcBorders>
                  <w:noWrap w:val="0"/>
                  <w:vAlign w:val="center"/>
                </w:tcPr>
                <w:p w14:paraId="3E4C816D">
                  <w:pPr>
                    <w:autoSpaceDE w:val="0"/>
                    <w:autoSpaceDN w:val="0"/>
                    <w:jc w:val="center"/>
                    <w:rPr>
                      <w:rFonts w:hint="default" w:ascii="Times New Roman" w:hAnsi="Times New Roman" w:cs="Times New Roman"/>
                      <w:kern w:val="2"/>
                      <w:sz w:val="18"/>
                      <w:szCs w:val="18"/>
                      <w:highlight w:val="none"/>
                      <w:lang w:val="en-US" w:eastAsia="zh-CN" w:bidi="ar-SA"/>
                    </w:rPr>
                  </w:pPr>
                  <w:r>
                    <w:rPr>
                      <w:rFonts w:hint="default" w:ascii="Times New Roman" w:hAnsi="Times New Roman" w:cs="Times New Roman"/>
                      <w:sz w:val="18"/>
                      <w:szCs w:val="18"/>
                      <w:highlight w:val="none"/>
                    </w:rPr>
                    <w:t>袋装</w:t>
                  </w:r>
                </w:p>
              </w:tc>
              <w:tc>
                <w:tcPr>
                  <w:tcW w:w="821" w:type="dxa"/>
                  <w:tcBorders>
                    <w:left w:val="single" w:color="auto" w:sz="4" w:space="0"/>
                    <w:right w:val="single" w:color="auto" w:sz="4" w:space="0"/>
                  </w:tcBorders>
                  <w:noWrap w:val="0"/>
                  <w:vAlign w:val="center"/>
                </w:tcPr>
                <w:p w14:paraId="71F96B24">
                  <w:pPr>
                    <w:autoSpaceDE w:val="0"/>
                    <w:autoSpaceDN w:val="0"/>
                    <w:jc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0.5</w:t>
                  </w:r>
                </w:p>
              </w:tc>
              <w:tc>
                <w:tcPr>
                  <w:tcW w:w="1387" w:type="dxa"/>
                  <w:vMerge w:val="continue"/>
                  <w:tcBorders>
                    <w:left w:val="single" w:color="auto" w:sz="4" w:space="0"/>
                    <w:bottom w:val="single" w:color="auto" w:sz="8" w:space="0"/>
                    <w:right w:val="nil"/>
                  </w:tcBorders>
                  <w:noWrap w:val="0"/>
                  <w:vAlign w:val="center"/>
                </w:tcPr>
                <w:p w14:paraId="62E9CB9F">
                  <w:pPr>
                    <w:autoSpaceDE w:val="0"/>
                    <w:autoSpaceDN w:val="0"/>
                    <w:jc w:val="center"/>
                    <w:rPr>
                      <w:rFonts w:hint="default" w:ascii="Times New Roman" w:hAnsi="Times New Roman" w:cs="Times New Roman"/>
                      <w:sz w:val="18"/>
                      <w:szCs w:val="18"/>
                      <w:highlight w:val="none"/>
                    </w:rPr>
                  </w:pPr>
                </w:p>
              </w:tc>
            </w:tr>
          </w:tbl>
          <w:p w14:paraId="211A982E">
            <w:pPr>
              <w:spacing w:line="360" w:lineRule="auto"/>
              <w:ind w:firstLine="420" w:firstLineChars="200"/>
              <w:rPr>
                <w:rFonts w:hint="default" w:ascii="Times New Roman" w:hAnsi="Times New Roman" w:cs="Times New Roman"/>
                <w:b w:val="0"/>
                <w:bCs w:val="0"/>
                <w:sz w:val="21"/>
                <w:szCs w:val="21"/>
                <w:highlight w:val="none"/>
              </w:rPr>
            </w:pPr>
            <w:r>
              <w:rPr>
                <w:rFonts w:hint="default" w:ascii="Times New Roman" w:hAnsi="Times New Roman" w:cs="Times New Roman"/>
                <w:b w:val="0"/>
                <w:bCs w:val="0"/>
                <w:sz w:val="21"/>
                <w:szCs w:val="21"/>
                <w:highlight w:val="none"/>
              </w:rPr>
              <w:t>环境管理要求</w:t>
            </w:r>
          </w:p>
          <w:p w14:paraId="5E670787">
            <w:pPr>
              <w:autoSpaceDE w:val="0"/>
              <w:autoSpaceDN w:val="0"/>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（1）生活垃圾</w:t>
            </w:r>
          </w:p>
          <w:p w14:paraId="689385D5">
            <w:pPr>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本项目生活垃圾由市政环卫部门统一处理。</w:t>
            </w:r>
          </w:p>
          <w:p w14:paraId="506C8948">
            <w:pPr>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（2）一般工业固体废物</w:t>
            </w:r>
          </w:p>
          <w:p w14:paraId="56CEBA81">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本项目废离子交换树脂、玉米皮、玉米须</w:t>
            </w:r>
            <w:r>
              <w:rPr>
                <w:rFonts w:hint="default" w:ascii="Times New Roman" w:hAnsi="Times New Roman" w:cs="Times New Roman"/>
                <w:sz w:val="21"/>
                <w:szCs w:val="21"/>
                <w:highlight w:val="none"/>
                <w:lang w:eastAsia="zh-CN"/>
              </w:rPr>
              <w:t>、玉米芯及</w:t>
            </w:r>
            <w:r>
              <w:rPr>
                <w:rFonts w:hint="default" w:ascii="Times New Roman" w:hAnsi="Times New Roman" w:cs="Times New Roman"/>
                <w:sz w:val="21"/>
                <w:szCs w:val="21"/>
                <w:highlight w:val="none"/>
              </w:rPr>
              <w:t>切端废物</w:t>
            </w:r>
            <w:r>
              <w:rPr>
                <w:rFonts w:hint="default" w:ascii="Times New Roman" w:hAnsi="Times New Roman" w:cs="Times New Roman"/>
                <w:bCs/>
                <w:sz w:val="21"/>
                <w:szCs w:val="21"/>
                <w:highlight w:val="none"/>
              </w:rPr>
              <w:t>外售作为饲料；锅炉灰渣、除尘灰</w:t>
            </w:r>
            <w:r>
              <w:rPr>
                <w:rFonts w:hint="default" w:ascii="Times New Roman" w:hAnsi="Times New Roman" w:cs="Times New Roman"/>
                <w:sz w:val="21"/>
                <w:szCs w:val="21"/>
                <w:highlight w:val="none"/>
              </w:rPr>
              <w:t>外售作为肥料</w:t>
            </w:r>
            <w:r>
              <w:rPr>
                <w:rFonts w:hint="default" w:ascii="Times New Roman" w:hAnsi="Times New Roman" w:cs="Times New Roman"/>
                <w:sz w:val="21"/>
                <w:szCs w:val="21"/>
                <w:highlight w:val="none"/>
                <w:lang w:eastAsia="zh-CN"/>
              </w:rPr>
              <w:t>；废离子交换树脂、废包装材料、废布袋交由原厂回收，生活垃圾交由市政环卫部门处理。</w:t>
            </w:r>
          </w:p>
          <w:p w14:paraId="27DD33EC">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综上所述，本项目产生的固体废物经过妥善处理后，处置率达到100%不会影响周边环境。</w:t>
            </w:r>
          </w:p>
          <w:p w14:paraId="7775744E">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土壤、地下水</w:t>
            </w:r>
          </w:p>
          <w:p w14:paraId="259D102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b w:val="0"/>
                <w:bCs/>
                <w:color w:val="auto"/>
                <w:szCs w:val="21"/>
                <w:highlight w:val="none"/>
              </w:rPr>
              <w:t>本项目没有挥发性有机物及重金属气态物质排放，因此本项目无地下水、土壤污染途径。</w:t>
            </w:r>
          </w:p>
          <w:p w14:paraId="48335D61">
            <w:pPr>
              <w:keepNext w:val="0"/>
              <w:keepLines w:val="0"/>
              <w:pageBreakBefore w:val="0"/>
              <w:widowControl w:val="0"/>
              <w:kinsoku/>
              <w:wordWrap/>
              <w:overflowPunct/>
              <w:topLinePunct w:val="0"/>
              <w:autoSpaceDE/>
              <w:autoSpaceDN/>
              <w:bidi w:val="0"/>
              <w:adjustRightInd w:val="0"/>
              <w:snapToGrid w:val="0"/>
              <w:spacing w:line="360" w:lineRule="auto"/>
              <w:ind w:left="0" w:leftChars="0"/>
              <w:textAlignment w:val="auto"/>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6、环境风险</w:t>
            </w:r>
          </w:p>
          <w:p w14:paraId="4A89648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cs="Times New Roman"/>
                <w:bCs/>
                <w:color w:val="auto"/>
                <w:szCs w:val="21"/>
                <w:highlight w:val="none"/>
                <w:lang w:val="en-US"/>
              </w:rPr>
            </w:pPr>
            <w:r>
              <w:rPr>
                <w:rFonts w:hint="default" w:ascii="Times New Roman" w:hAnsi="Times New Roman" w:cs="Times New Roman"/>
                <w:bCs/>
                <w:color w:val="auto"/>
                <w:szCs w:val="21"/>
                <w:highlight w:val="none"/>
              </w:rPr>
              <w:t>本项目不涉及环境风险物质，不进行环境风险分析。</w:t>
            </w:r>
          </w:p>
        </w:tc>
      </w:tr>
    </w:tbl>
    <w:p w14:paraId="3B1FB16B">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21DE59A">
      <w:pPr>
        <w:jc w:val="center"/>
        <w:outlineLvl w:val="0"/>
        <w:rPr>
          <w:rFonts w:hint="default" w:ascii="Times New Roman" w:hAnsi="Times New Roman" w:eastAsia="黑体" w:cs="Times New Roman"/>
          <w:snapToGrid w:val="0"/>
          <w:color w:val="auto"/>
          <w:sz w:val="30"/>
          <w:szCs w:val="30"/>
          <w:highlight w:val="none"/>
        </w:rPr>
      </w:pPr>
      <w:bookmarkStart w:id="9" w:name="_Toc5667"/>
      <w:r>
        <w:rPr>
          <w:rFonts w:hint="default" w:ascii="Times New Roman" w:hAnsi="Times New Roman" w:eastAsia="黑体" w:cs="Times New Roman"/>
          <w:snapToGrid w:val="0"/>
          <w:color w:val="auto"/>
          <w:sz w:val="30"/>
          <w:szCs w:val="30"/>
          <w:highlight w:val="none"/>
        </w:rPr>
        <w:t>五、</w:t>
      </w:r>
      <w:bookmarkStart w:id="10" w:name="_Hlk54167917"/>
      <w:r>
        <w:rPr>
          <w:rFonts w:hint="default" w:ascii="Times New Roman" w:hAnsi="Times New Roman" w:eastAsia="黑体" w:cs="Times New Roman"/>
          <w:snapToGrid w:val="0"/>
          <w:color w:val="auto"/>
          <w:sz w:val="30"/>
          <w:szCs w:val="30"/>
          <w:highlight w:val="none"/>
        </w:rPr>
        <w:t>环境保护措施监督检查清单</w:t>
      </w:r>
      <w:bookmarkEnd w:id="9"/>
      <w:bookmarkEnd w:id="10"/>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671"/>
        <w:gridCol w:w="1335"/>
        <w:gridCol w:w="1560"/>
        <w:gridCol w:w="2456"/>
      </w:tblGrid>
      <w:tr w14:paraId="2F6A1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tcBorders>
              <w:tl2br w:val="single" w:color="auto" w:sz="4" w:space="0"/>
            </w:tcBorders>
            <w:noWrap w:val="0"/>
            <w:vAlign w:val="top"/>
          </w:tcPr>
          <w:p w14:paraId="3806BD8C">
            <w:pPr>
              <w:adjustRightInd w:val="0"/>
              <w:snapToGrid w:val="0"/>
              <w:ind w:firstLine="84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14:paraId="78B7FF88">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1671" w:type="dxa"/>
            <w:noWrap w:val="0"/>
            <w:vAlign w:val="center"/>
          </w:tcPr>
          <w:p w14:paraId="177B626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p w14:paraId="7351C63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名称)/污染源</w:t>
            </w:r>
          </w:p>
        </w:tc>
        <w:tc>
          <w:tcPr>
            <w:tcW w:w="1335" w:type="dxa"/>
            <w:noWrap w:val="0"/>
            <w:vAlign w:val="center"/>
          </w:tcPr>
          <w:p w14:paraId="40BABD2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污染物项目</w:t>
            </w:r>
          </w:p>
        </w:tc>
        <w:tc>
          <w:tcPr>
            <w:tcW w:w="1560" w:type="dxa"/>
            <w:noWrap w:val="0"/>
            <w:vAlign w:val="center"/>
          </w:tcPr>
          <w:p w14:paraId="46AFE9C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2456" w:type="dxa"/>
            <w:noWrap w:val="0"/>
            <w:vAlign w:val="center"/>
          </w:tcPr>
          <w:p w14:paraId="11845EC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14:paraId="73FC88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restart"/>
            <w:noWrap w:val="0"/>
            <w:vAlign w:val="center"/>
          </w:tcPr>
          <w:p w14:paraId="5194A34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671" w:type="dxa"/>
            <w:vMerge w:val="restart"/>
            <w:noWrap w:val="0"/>
            <w:vAlign w:val="center"/>
          </w:tcPr>
          <w:p w14:paraId="28252120">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DA001</w:t>
            </w:r>
            <w:r>
              <w:rPr>
                <w:rFonts w:hint="default" w:ascii="Times New Roman" w:hAnsi="Times New Roman" w:cs="Times New Roman"/>
                <w:color w:val="auto"/>
                <w:sz w:val="21"/>
                <w:szCs w:val="21"/>
                <w:highlight w:val="none"/>
                <w:lang w:eastAsia="zh-CN"/>
              </w:rPr>
              <w:t>烟囱</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生物质锅炉</w:t>
            </w:r>
          </w:p>
        </w:tc>
        <w:tc>
          <w:tcPr>
            <w:tcW w:w="1335" w:type="dxa"/>
            <w:noWrap w:val="0"/>
            <w:vAlign w:val="center"/>
          </w:tcPr>
          <w:p w14:paraId="29BD3442">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颗粒物</w:t>
            </w:r>
          </w:p>
        </w:tc>
        <w:tc>
          <w:tcPr>
            <w:tcW w:w="1560" w:type="dxa"/>
            <w:vMerge w:val="restart"/>
            <w:noWrap w:val="0"/>
            <w:vAlign w:val="center"/>
          </w:tcPr>
          <w:p w14:paraId="723FD306">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旋风</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布袋除尘器</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lang w:eastAsia="zh-CN"/>
              </w:rPr>
              <w:t>烟囱</w:t>
            </w:r>
          </w:p>
        </w:tc>
        <w:tc>
          <w:tcPr>
            <w:tcW w:w="2456" w:type="dxa"/>
            <w:vMerge w:val="restart"/>
            <w:noWrap w:val="0"/>
            <w:vAlign w:val="center"/>
          </w:tcPr>
          <w:p w14:paraId="06F5F59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《锅炉大气污染物排放标准》（GB13271-2014）表2中“燃煤锅炉”排放标准</w:t>
            </w:r>
          </w:p>
        </w:tc>
      </w:tr>
      <w:tr w14:paraId="311A4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10AE1449">
            <w:pPr>
              <w:adjustRightInd w:val="0"/>
              <w:snapToGrid w:val="0"/>
              <w:jc w:val="center"/>
              <w:rPr>
                <w:rFonts w:hint="default" w:ascii="Times New Roman" w:hAnsi="Times New Roman" w:cs="Times New Roman"/>
                <w:color w:val="auto"/>
                <w:sz w:val="21"/>
                <w:szCs w:val="21"/>
                <w:highlight w:val="none"/>
              </w:rPr>
            </w:pPr>
          </w:p>
        </w:tc>
        <w:tc>
          <w:tcPr>
            <w:tcW w:w="1671" w:type="dxa"/>
            <w:vMerge w:val="continue"/>
            <w:noWrap w:val="0"/>
            <w:vAlign w:val="center"/>
          </w:tcPr>
          <w:p w14:paraId="5FFA1019">
            <w:pPr>
              <w:adjustRightInd w:val="0"/>
              <w:snapToGrid w:val="0"/>
              <w:jc w:val="center"/>
              <w:rPr>
                <w:rFonts w:hint="default" w:ascii="Times New Roman" w:hAnsi="Times New Roman" w:cs="Times New Roman"/>
                <w:color w:val="auto"/>
                <w:sz w:val="21"/>
                <w:szCs w:val="21"/>
                <w:highlight w:val="none"/>
              </w:rPr>
            </w:pPr>
          </w:p>
        </w:tc>
        <w:tc>
          <w:tcPr>
            <w:tcW w:w="1335" w:type="dxa"/>
            <w:noWrap w:val="0"/>
            <w:vAlign w:val="center"/>
          </w:tcPr>
          <w:p w14:paraId="2C382775">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560" w:type="dxa"/>
            <w:vMerge w:val="continue"/>
            <w:noWrap w:val="0"/>
            <w:vAlign w:val="center"/>
          </w:tcPr>
          <w:p w14:paraId="748CE586">
            <w:pPr>
              <w:adjustRightInd w:val="0"/>
              <w:snapToGrid w:val="0"/>
              <w:jc w:val="center"/>
              <w:rPr>
                <w:rFonts w:hint="default" w:ascii="Times New Roman" w:hAnsi="Times New Roman" w:cs="Times New Roman"/>
                <w:color w:val="auto"/>
                <w:sz w:val="21"/>
                <w:szCs w:val="21"/>
                <w:highlight w:val="none"/>
              </w:rPr>
            </w:pPr>
          </w:p>
        </w:tc>
        <w:tc>
          <w:tcPr>
            <w:tcW w:w="2456" w:type="dxa"/>
            <w:vMerge w:val="continue"/>
            <w:noWrap w:val="0"/>
            <w:vAlign w:val="center"/>
          </w:tcPr>
          <w:p w14:paraId="3039C933">
            <w:pPr>
              <w:adjustRightInd w:val="0"/>
              <w:snapToGrid w:val="0"/>
              <w:jc w:val="center"/>
              <w:rPr>
                <w:rFonts w:hint="default" w:ascii="Times New Roman" w:hAnsi="Times New Roman" w:cs="Times New Roman"/>
                <w:color w:val="auto"/>
                <w:sz w:val="21"/>
                <w:szCs w:val="21"/>
                <w:highlight w:val="none"/>
              </w:rPr>
            </w:pPr>
          </w:p>
        </w:tc>
      </w:tr>
      <w:tr w14:paraId="21D2BA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1FE414F1">
            <w:pPr>
              <w:adjustRightInd w:val="0"/>
              <w:snapToGrid w:val="0"/>
              <w:jc w:val="center"/>
              <w:rPr>
                <w:rFonts w:hint="default" w:ascii="Times New Roman" w:hAnsi="Times New Roman" w:cs="Times New Roman"/>
                <w:color w:val="auto"/>
                <w:sz w:val="21"/>
                <w:szCs w:val="21"/>
                <w:highlight w:val="none"/>
              </w:rPr>
            </w:pPr>
          </w:p>
        </w:tc>
        <w:tc>
          <w:tcPr>
            <w:tcW w:w="1671" w:type="dxa"/>
            <w:vMerge w:val="continue"/>
            <w:noWrap w:val="0"/>
            <w:vAlign w:val="center"/>
          </w:tcPr>
          <w:p w14:paraId="74180845">
            <w:pPr>
              <w:adjustRightInd w:val="0"/>
              <w:snapToGrid w:val="0"/>
              <w:jc w:val="center"/>
              <w:rPr>
                <w:rFonts w:hint="default" w:ascii="Times New Roman" w:hAnsi="Times New Roman" w:cs="Times New Roman"/>
                <w:color w:val="auto"/>
                <w:sz w:val="21"/>
                <w:szCs w:val="21"/>
                <w:highlight w:val="none"/>
              </w:rPr>
            </w:pPr>
          </w:p>
        </w:tc>
        <w:tc>
          <w:tcPr>
            <w:tcW w:w="1335" w:type="dxa"/>
            <w:noWrap w:val="0"/>
            <w:vAlign w:val="center"/>
          </w:tcPr>
          <w:p w14:paraId="0A89DBEC">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560" w:type="dxa"/>
            <w:vMerge w:val="continue"/>
            <w:noWrap w:val="0"/>
            <w:vAlign w:val="center"/>
          </w:tcPr>
          <w:p w14:paraId="09302C07">
            <w:pPr>
              <w:adjustRightInd w:val="0"/>
              <w:snapToGrid w:val="0"/>
              <w:jc w:val="center"/>
              <w:rPr>
                <w:rFonts w:hint="default" w:ascii="Times New Roman" w:hAnsi="Times New Roman" w:cs="Times New Roman"/>
                <w:color w:val="auto"/>
                <w:sz w:val="21"/>
                <w:szCs w:val="21"/>
                <w:highlight w:val="none"/>
              </w:rPr>
            </w:pPr>
          </w:p>
        </w:tc>
        <w:tc>
          <w:tcPr>
            <w:tcW w:w="2456" w:type="dxa"/>
            <w:vMerge w:val="continue"/>
            <w:noWrap w:val="0"/>
            <w:vAlign w:val="center"/>
          </w:tcPr>
          <w:p w14:paraId="2F450D96">
            <w:pPr>
              <w:adjustRightInd w:val="0"/>
              <w:snapToGrid w:val="0"/>
              <w:jc w:val="center"/>
              <w:rPr>
                <w:rFonts w:hint="default" w:ascii="Times New Roman" w:hAnsi="Times New Roman" w:cs="Times New Roman"/>
                <w:color w:val="auto"/>
                <w:sz w:val="21"/>
                <w:szCs w:val="21"/>
                <w:highlight w:val="none"/>
              </w:rPr>
            </w:pPr>
          </w:p>
        </w:tc>
      </w:tr>
      <w:tr w14:paraId="63DB14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31ABC66B">
            <w:pPr>
              <w:adjustRightInd w:val="0"/>
              <w:snapToGrid w:val="0"/>
              <w:jc w:val="center"/>
              <w:rPr>
                <w:rFonts w:hint="default" w:ascii="Times New Roman" w:hAnsi="Times New Roman" w:cs="Times New Roman"/>
                <w:color w:val="auto"/>
                <w:sz w:val="21"/>
                <w:szCs w:val="21"/>
                <w:highlight w:val="none"/>
              </w:rPr>
            </w:pPr>
          </w:p>
        </w:tc>
        <w:tc>
          <w:tcPr>
            <w:tcW w:w="1671" w:type="dxa"/>
            <w:vMerge w:val="continue"/>
            <w:noWrap w:val="0"/>
            <w:vAlign w:val="center"/>
          </w:tcPr>
          <w:p w14:paraId="133C4765">
            <w:pPr>
              <w:adjustRightInd w:val="0"/>
              <w:snapToGrid w:val="0"/>
              <w:jc w:val="center"/>
              <w:rPr>
                <w:rFonts w:hint="default" w:ascii="Times New Roman" w:hAnsi="Times New Roman" w:cs="Times New Roman"/>
                <w:color w:val="auto"/>
                <w:sz w:val="21"/>
                <w:szCs w:val="21"/>
                <w:highlight w:val="none"/>
              </w:rPr>
            </w:pPr>
          </w:p>
        </w:tc>
        <w:tc>
          <w:tcPr>
            <w:tcW w:w="1335" w:type="dxa"/>
            <w:noWrap w:val="0"/>
            <w:vAlign w:val="center"/>
          </w:tcPr>
          <w:p w14:paraId="1D2A897E">
            <w:pPr>
              <w:adjustRightInd w:val="0"/>
              <w:snapToGrid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烟气黑度</w:t>
            </w:r>
          </w:p>
        </w:tc>
        <w:tc>
          <w:tcPr>
            <w:tcW w:w="1560" w:type="dxa"/>
            <w:vMerge w:val="continue"/>
            <w:noWrap w:val="0"/>
            <w:vAlign w:val="center"/>
          </w:tcPr>
          <w:p w14:paraId="45F31D9C">
            <w:pPr>
              <w:adjustRightInd w:val="0"/>
              <w:snapToGrid w:val="0"/>
              <w:jc w:val="center"/>
              <w:rPr>
                <w:rFonts w:hint="default" w:ascii="Times New Roman" w:hAnsi="Times New Roman" w:cs="Times New Roman"/>
                <w:color w:val="auto"/>
                <w:sz w:val="21"/>
                <w:szCs w:val="21"/>
                <w:highlight w:val="none"/>
              </w:rPr>
            </w:pPr>
          </w:p>
        </w:tc>
        <w:tc>
          <w:tcPr>
            <w:tcW w:w="2456" w:type="dxa"/>
            <w:vMerge w:val="continue"/>
            <w:noWrap w:val="0"/>
            <w:vAlign w:val="center"/>
          </w:tcPr>
          <w:p w14:paraId="54DC4ED6">
            <w:pPr>
              <w:adjustRightInd w:val="0"/>
              <w:snapToGrid w:val="0"/>
              <w:jc w:val="center"/>
              <w:rPr>
                <w:rFonts w:hint="default" w:ascii="Times New Roman" w:hAnsi="Times New Roman" w:cs="Times New Roman"/>
                <w:color w:val="auto"/>
                <w:sz w:val="21"/>
                <w:szCs w:val="21"/>
                <w:highlight w:val="none"/>
              </w:rPr>
            </w:pPr>
          </w:p>
        </w:tc>
      </w:tr>
      <w:tr w14:paraId="76C60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2E29F0D4">
            <w:pPr>
              <w:adjustRightInd w:val="0"/>
              <w:snapToGrid w:val="0"/>
              <w:jc w:val="center"/>
              <w:rPr>
                <w:rFonts w:hint="default" w:ascii="Times New Roman" w:hAnsi="Times New Roman" w:cs="Times New Roman"/>
                <w:color w:val="auto"/>
                <w:sz w:val="21"/>
                <w:szCs w:val="21"/>
                <w:highlight w:val="none"/>
              </w:rPr>
            </w:pPr>
          </w:p>
        </w:tc>
        <w:tc>
          <w:tcPr>
            <w:tcW w:w="1671" w:type="dxa"/>
            <w:vMerge w:val="restart"/>
            <w:noWrap w:val="0"/>
            <w:vAlign w:val="center"/>
          </w:tcPr>
          <w:p w14:paraId="21CD2F3F">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sz w:val="21"/>
                <w:szCs w:val="21"/>
                <w:highlight w:val="none"/>
              </w:rPr>
              <w:t>无组织</w:t>
            </w:r>
          </w:p>
        </w:tc>
        <w:tc>
          <w:tcPr>
            <w:tcW w:w="1335" w:type="dxa"/>
            <w:noWrap w:val="0"/>
            <w:vAlign w:val="center"/>
          </w:tcPr>
          <w:p w14:paraId="0F05F62A">
            <w:pPr>
              <w:pStyle w:val="28"/>
              <w:adjustRightInd w:val="0"/>
              <w:snapToGrid w:val="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sz w:val="21"/>
                <w:szCs w:val="21"/>
                <w:highlight w:val="none"/>
              </w:rPr>
              <w:t>颗粒物</w:t>
            </w:r>
          </w:p>
        </w:tc>
        <w:tc>
          <w:tcPr>
            <w:tcW w:w="1560" w:type="dxa"/>
            <w:noWrap w:val="0"/>
            <w:vAlign w:val="center"/>
          </w:tcPr>
          <w:p w14:paraId="4ACBA9B7">
            <w:pPr>
              <w:pStyle w:val="28"/>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rPr>
              <w:t>本项目生产车间为全封闭建设，鲜玉米含有一定水分，在挑选过程中基本不会产生粉尘</w:t>
            </w:r>
          </w:p>
        </w:tc>
        <w:tc>
          <w:tcPr>
            <w:tcW w:w="2456" w:type="dxa"/>
            <w:noWrap w:val="0"/>
            <w:vAlign w:val="center"/>
          </w:tcPr>
          <w:p w14:paraId="028490C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lang w:val="en-US" w:eastAsia="zh-CN"/>
              </w:rPr>
              <w:t>/</w:t>
            </w:r>
          </w:p>
        </w:tc>
      </w:tr>
      <w:tr w14:paraId="331B9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6338E231">
            <w:pPr>
              <w:adjustRightInd w:val="0"/>
              <w:snapToGrid w:val="0"/>
              <w:jc w:val="center"/>
              <w:rPr>
                <w:rFonts w:hint="default" w:ascii="Times New Roman" w:hAnsi="Times New Roman" w:cs="Times New Roman"/>
                <w:color w:val="auto"/>
                <w:sz w:val="21"/>
                <w:szCs w:val="21"/>
                <w:highlight w:val="none"/>
              </w:rPr>
            </w:pPr>
          </w:p>
        </w:tc>
        <w:tc>
          <w:tcPr>
            <w:tcW w:w="1671" w:type="dxa"/>
            <w:vMerge w:val="continue"/>
            <w:noWrap w:val="0"/>
            <w:vAlign w:val="center"/>
          </w:tcPr>
          <w:p w14:paraId="3D44A5A1">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1335" w:type="dxa"/>
            <w:noWrap w:val="0"/>
            <w:vAlign w:val="center"/>
          </w:tcPr>
          <w:p w14:paraId="63093508">
            <w:pPr>
              <w:pStyle w:val="28"/>
              <w:adjustRightInd w:val="0"/>
              <w:snapToGrid w:val="0"/>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sz w:val="21"/>
                <w:szCs w:val="21"/>
                <w:highlight w:val="none"/>
                <w:lang w:eastAsia="zh-CN"/>
              </w:rPr>
              <w:t>异味</w:t>
            </w:r>
          </w:p>
        </w:tc>
        <w:tc>
          <w:tcPr>
            <w:tcW w:w="1560" w:type="dxa"/>
            <w:noWrap w:val="0"/>
            <w:vAlign w:val="center"/>
          </w:tcPr>
          <w:p w14:paraId="6BEB5692">
            <w:pPr>
              <w:pStyle w:val="28"/>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highlight w:val="none"/>
              </w:rPr>
              <w:t>加强通风</w:t>
            </w:r>
          </w:p>
        </w:tc>
        <w:tc>
          <w:tcPr>
            <w:tcW w:w="2456" w:type="dxa"/>
            <w:noWrap w:val="0"/>
            <w:vAlign w:val="center"/>
          </w:tcPr>
          <w:p w14:paraId="6C6E8451">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sz w:val="21"/>
                <w:szCs w:val="21"/>
                <w:highlight w:val="none"/>
                <w:lang w:val="en-US" w:eastAsia="zh-CN"/>
              </w:rPr>
              <w:t>/</w:t>
            </w:r>
          </w:p>
        </w:tc>
      </w:tr>
      <w:tr w14:paraId="6DB30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restart"/>
            <w:noWrap w:val="0"/>
            <w:vAlign w:val="center"/>
          </w:tcPr>
          <w:p w14:paraId="6127C89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671" w:type="dxa"/>
            <w:noWrap w:val="0"/>
            <w:vAlign w:val="center"/>
          </w:tcPr>
          <w:p w14:paraId="6B42A345">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sz w:val="21"/>
                <w:szCs w:val="21"/>
                <w:highlight w:val="none"/>
              </w:rPr>
              <w:t>生活污水</w:t>
            </w:r>
          </w:p>
        </w:tc>
        <w:tc>
          <w:tcPr>
            <w:tcW w:w="1335" w:type="dxa"/>
            <w:noWrap w:val="0"/>
            <w:vAlign w:val="center"/>
          </w:tcPr>
          <w:p w14:paraId="6999554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COD、BOD</w:t>
            </w:r>
            <w:r>
              <w:rPr>
                <w:rFonts w:hint="default" w:ascii="Times New Roman" w:hAnsi="Times New Roman" w:cs="Times New Roman"/>
                <w:sz w:val="21"/>
                <w:szCs w:val="21"/>
                <w:highlight w:val="none"/>
                <w:vertAlign w:val="subscript"/>
              </w:rPr>
              <w:t>5</w:t>
            </w:r>
            <w:r>
              <w:rPr>
                <w:rFonts w:hint="default" w:ascii="Times New Roman" w:hAnsi="Times New Roman" w:cs="Times New Roman"/>
                <w:sz w:val="21"/>
                <w:szCs w:val="21"/>
                <w:highlight w:val="none"/>
              </w:rPr>
              <w:t>、SS、氨氮</w:t>
            </w:r>
          </w:p>
        </w:tc>
        <w:tc>
          <w:tcPr>
            <w:tcW w:w="1560" w:type="dxa"/>
            <w:noWrap w:val="0"/>
            <w:vAlign w:val="center"/>
          </w:tcPr>
          <w:p w14:paraId="666F7BD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kern w:val="0"/>
                <w:sz w:val="21"/>
                <w:szCs w:val="21"/>
                <w:highlight w:val="none"/>
              </w:rPr>
              <w:t>排入防渗旱厕，定期清掏，</w:t>
            </w:r>
            <w:r>
              <w:rPr>
                <w:rFonts w:hint="default" w:ascii="Times New Roman" w:hAnsi="Times New Roman" w:cs="Times New Roman"/>
                <w:kern w:val="0"/>
                <w:sz w:val="21"/>
                <w:szCs w:val="21"/>
                <w:highlight w:val="none"/>
                <w:lang w:eastAsia="zh-CN"/>
              </w:rPr>
              <w:t>外运堆肥</w:t>
            </w:r>
          </w:p>
        </w:tc>
        <w:tc>
          <w:tcPr>
            <w:tcW w:w="2456" w:type="dxa"/>
            <w:noWrap w:val="0"/>
            <w:vAlign w:val="center"/>
          </w:tcPr>
          <w:p w14:paraId="01B143D2">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sz w:val="21"/>
                <w:szCs w:val="21"/>
                <w:highlight w:val="none"/>
                <w:lang w:val="en-US" w:eastAsia="zh-CN"/>
              </w:rPr>
              <w:t>/</w:t>
            </w:r>
          </w:p>
        </w:tc>
      </w:tr>
      <w:tr w14:paraId="1059D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06427D7C">
            <w:pPr>
              <w:adjustRightInd w:val="0"/>
              <w:snapToGrid w:val="0"/>
              <w:jc w:val="center"/>
              <w:rPr>
                <w:rFonts w:hint="default" w:ascii="Times New Roman" w:hAnsi="Times New Roman" w:cs="Times New Roman"/>
                <w:color w:val="auto"/>
                <w:sz w:val="21"/>
                <w:szCs w:val="21"/>
                <w:highlight w:val="none"/>
              </w:rPr>
            </w:pPr>
          </w:p>
        </w:tc>
        <w:tc>
          <w:tcPr>
            <w:tcW w:w="1671" w:type="dxa"/>
            <w:noWrap w:val="0"/>
            <w:vAlign w:val="center"/>
          </w:tcPr>
          <w:p w14:paraId="68236572">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z w:val="21"/>
                <w:szCs w:val="21"/>
                <w:highlight w:val="none"/>
              </w:rPr>
              <w:t>锅炉排污水及软化处理废水</w:t>
            </w:r>
          </w:p>
        </w:tc>
        <w:tc>
          <w:tcPr>
            <w:tcW w:w="1335" w:type="dxa"/>
            <w:noWrap w:val="0"/>
            <w:vAlign w:val="center"/>
          </w:tcPr>
          <w:p w14:paraId="6B5F0CE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COD、TDS</w:t>
            </w:r>
          </w:p>
        </w:tc>
        <w:tc>
          <w:tcPr>
            <w:tcW w:w="1560" w:type="dxa"/>
            <w:noWrap w:val="0"/>
            <w:vAlign w:val="center"/>
          </w:tcPr>
          <w:p w14:paraId="2F1B538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lang w:eastAsia="zh-CN"/>
              </w:rPr>
              <w:t>锅炉排污水及软化处理废水用于洒水降尘</w:t>
            </w:r>
          </w:p>
        </w:tc>
        <w:tc>
          <w:tcPr>
            <w:tcW w:w="2456" w:type="dxa"/>
            <w:noWrap w:val="0"/>
            <w:vAlign w:val="center"/>
          </w:tcPr>
          <w:p w14:paraId="07B239B3">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sz w:val="21"/>
                <w:szCs w:val="21"/>
                <w:highlight w:val="none"/>
                <w:lang w:val="en-US" w:eastAsia="zh-CN"/>
              </w:rPr>
              <w:t>/</w:t>
            </w:r>
          </w:p>
        </w:tc>
      </w:tr>
      <w:tr w14:paraId="4B768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vMerge w:val="continue"/>
            <w:noWrap w:val="0"/>
            <w:vAlign w:val="center"/>
          </w:tcPr>
          <w:p w14:paraId="470AE925">
            <w:pPr>
              <w:adjustRightInd w:val="0"/>
              <w:snapToGrid w:val="0"/>
              <w:jc w:val="center"/>
              <w:rPr>
                <w:rFonts w:hint="default" w:ascii="Times New Roman" w:hAnsi="Times New Roman" w:cs="Times New Roman"/>
                <w:color w:val="auto"/>
                <w:sz w:val="21"/>
                <w:szCs w:val="21"/>
                <w:highlight w:val="none"/>
              </w:rPr>
            </w:pPr>
          </w:p>
        </w:tc>
        <w:tc>
          <w:tcPr>
            <w:tcW w:w="1671" w:type="dxa"/>
            <w:noWrap w:val="0"/>
            <w:vAlign w:val="center"/>
          </w:tcPr>
          <w:p w14:paraId="53257E24">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z w:val="21"/>
                <w:szCs w:val="21"/>
                <w:highlight w:val="none"/>
                <w:lang w:eastAsia="zh-CN"/>
              </w:rPr>
              <w:t>生产废水</w:t>
            </w:r>
          </w:p>
        </w:tc>
        <w:tc>
          <w:tcPr>
            <w:tcW w:w="1335" w:type="dxa"/>
            <w:noWrap w:val="0"/>
            <w:vAlign w:val="center"/>
          </w:tcPr>
          <w:p w14:paraId="4D3B0D6C">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rPr>
              <w:t>COD、BOD</w:t>
            </w:r>
            <w:r>
              <w:rPr>
                <w:rFonts w:hint="default" w:ascii="Times New Roman" w:hAnsi="Times New Roman" w:cs="Times New Roman"/>
                <w:sz w:val="21"/>
                <w:szCs w:val="21"/>
                <w:highlight w:val="none"/>
                <w:vertAlign w:val="subscript"/>
              </w:rPr>
              <w:t>5</w:t>
            </w:r>
            <w:r>
              <w:rPr>
                <w:rFonts w:hint="default" w:ascii="Times New Roman" w:hAnsi="Times New Roman" w:cs="Times New Roman"/>
                <w:sz w:val="21"/>
                <w:szCs w:val="21"/>
                <w:highlight w:val="none"/>
              </w:rPr>
              <w:t>、SS、氨氮</w:t>
            </w:r>
          </w:p>
        </w:tc>
        <w:tc>
          <w:tcPr>
            <w:tcW w:w="1560" w:type="dxa"/>
            <w:noWrap w:val="0"/>
            <w:vAlign w:val="center"/>
          </w:tcPr>
          <w:p w14:paraId="175FFDDD">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z w:val="21"/>
                <w:szCs w:val="21"/>
                <w:highlight w:val="none"/>
                <w:lang w:eastAsia="zh-CN"/>
              </w:rPr>
              <w:t>生产废水暂存至</w:t>
            </w:r>
            <w:r>
              <w:rPr>
                <w:rFonts w:hint="default" w:ascii="Times New Roman" w:hAnsi="Times New Roman" w:cs="Times New Roman"/>
                <w:sz w:val="21"/>
                <w:szCs w:val="21"/>
                <w:highlight w:val="none"/>
                <w:lang w:val="en-US" w:eastAsia="zh-CN"/>
              </w:rPr>
              <w:t>16m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vertAlign w:val="baseline"/>
                <w:lang w:val="en-US" w:eastAsia="zh-CN"/>
              </w:rPr>
              <w:t>防渗储池内，</w:t>
            </w:r>
            <w:r>
              <w:rPr>
                <w:rFonts w:hint="default" w:ascii="Times New Roman" w:hAnsi="Times New Roman" w:cs="Times New Roman"/>
                <w:sz w:val="21"/>
                <w:szCs w:val="21"/>
                <w:highlight w:val="none"/>
                <w:lang w:eastAsia="zh-CN"/>
              </w:rPr>
              <w:t>每五天拉运一次，排至至污水处理厂</w:t>
            </w:r>
          </w:p>
        </w:tc>
        <w:tc>
          <w:tcPr>
            <w:tcW w:w="2456" w:type="dxa"/>
            <w:noWrap w:val="0"/>
            <w:vAlign w:val="center"/>
          </w:tcPr>
          <w:p w14:paraId="03A946E4">
            <w:pPr>
              <w:adjustRightInd w:val="0"/>
              <w:snapToGrid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000000"/>
                <w:kern w:val="2"/>
                <w:sz w:val="21"/>
                <w:szCs w:val="21"/>
                <w:highlight w:val="none"/>
                <w:lang w:val="en-US" w:eastAsia="zh-CN" w:bidi="ar-SA"/>
              </w:rPr>
              <w:t>《污水综合排放标准》（GB8978-1996）三级标准及连丰乡污水处理厂</w:t>
            </w:r>
            <w:r>
              <w:rPr>
                <w:rFonts w:hint="default" w:ascii="Times New Roman" w:hAnsi="Times New Roman" w:cs="Times New Roman"/>
                <w:sz w:val="21"/>
                <w:szCs w:val="21"/>
                <w:highlight w:val="none"/>
                <w:lang w:eastAsia="zh-CN"/>
              </w:rPr>
              <w:t>进水标准</w:t>
            </w:r>
          </w:p>
        </w:tc>
      </w:tr>
      <w:tr w14:paraId="3A3DB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14:paraId="2887AE1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671" w:type="dxa"/>
            <w:noWrap w:val="0"/>
            <w:vAlign w:val="center"/>
          </w:tcPr>
          <w:p w14:paraId="7D6FFFD2">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sz w:val="21"/>
                <w:szCs w:val="21"/>
                <w:highlight w:val="none"/>
              </w:rPr>
              <w:t>设备噪声</w:t>
            </w:r>
          </w:p>
        </w:tc>
        <w:tc>
          <w:tcPr>
            <w:tcW w:w="1335" w:type="dxa"/>
            <w:noWrap w:val="0"/>
            <w:vAlign w:val="center"/>
          </w:tcPr>
          <w:p w14:paraId="2ED2412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噪声</w:t>
            </w:r>
          </w:p>
        </w:tc>
        <w:tc>
          <w:tcPr>
            <w:tcW w:w="1560" w:type="dxa"/>
            <w:noWrap w:val="0"/>
            <w:vAlign w:val="center"/>
          </w:tcPr>
          <w:p w14:paraId="1149C26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采用低噪声设备、厂房隔声、基础减振等措施</w:t>
            </w:r>
          </w:p>
        </w:tc>
        <w:tc>
          <w:tcPr>
            <w:tcW w:w="2456" w:type="dxa"/>
            <w:noWrap w:val="0"/>
            <w:vAlign w:val="center"/>
          </w:tcPr>
          <w:p w14:paraId="4B3DB28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厂界执行《工业企业厂界环境噪声排放标准》（GB12348-2008）表1中2类标准</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lang w:val="en-US" w:eastAsia="zh-CN"/>
              </w:rPr>
              <w:t>敏感点执行</w:t>
            </w:r>
            <w:r>
              <w:rPr>
                <w:rFonts w:hint="default" w:ascii="Times New Roman" w:hAnsi="Times New Roman" w:cs="Times New Roman"/>
                <w:bCs/>
                <w:color w:val="auto"/>
                <w:sz w:val="21"/>
                <w:szCs w:val="21"/>
                <w:highlight w:val="none"/>
              </w:rPr>
              <w:t>《声环境质量标准》（GB3096-2008）中的</w:t>
            </w:r>
            <w:r>
              <w:rPr>
                <w:rFonts w:hint="default" w:ascii="Times New Roman" w:hAnsi="Times New Roman"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lang w:eastAsia="zh-CN"/>
              </w:rPr>
              <w:t>类</w:t>
            </w:r>
            <w:r>
              <w:rPr>
                <w:rFonts w:hint="default" w:ascii="Times New Roman" w:hAnsi="Times New Roman" w:cs="Times New Roman"/>
                <w:bCs/>
                <w:color w:val="auto"/>
                <w:sz w:val="21"/>
                <w:szCs w:val="21"/>
                <w:highlight w:val="none"/>
              </w:rPr>
              <w:t>标准</w:t>
            </w:r>
          </w:p>
        </w:tc>
      </w:tr>
      <w:tr w14:paraId="44D5F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14:paraId="471497F6">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电磁辐射</w:t>
            </w:r>
          </w:p>
        </w:tc>
        <w:tc>
          <w:tcPr>
            <w:tcW w:w="1671" w:type="dxa"/>
            <w:noWrap w:val="0"/>
            <w:vAlign w:val="center"/>
          </w:tcPr>
          <w:p w14:paraId="34F3113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1335" w:type="dxa"/>
            <w:noWrap w:val="0"/>
            <w:vAlign w:val="center"/>
          </w:tcPr>
          <w:p w14:paraId="18B02C0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1560" w:type="dxa"/>
            <w:noWrap w:val="0"/>
            <w:vAlign w:val="center"/>
          </w:tcPr>
          <w:p w14:paraId="1ED8A7A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c>
          <w:tcPr>
            <w:tcW w:w="2456" w:type="dxa"/>
            <w:noWrap w:val="0"/>
            <w:vAlign w:val="center"/>
          </w:tcPr>
          <w:p w14:paraId="47EEB8B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r>
      <w:tr w14:paraId="1CFC3E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8" w:type="dxa"/>
            <w:noWrap w:val="0"/>
            <w:vAlign w:val="center"/>
          </w:tcPr>
          <w:p w14:paraId="01FAAF0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固体废物</w:t>
            </w:r>
          </w:p>
        </w:tc>
        <w:tc>
          <w:tcPr>
            <w:tcW w:w="7022" w:type="dxa"/>
            <w:gridSpan w:val="4"/>
            <w:noWrap w:val="0"/>
            <w:vAlign w:val="top"/>
          </w:tcPr>
          <w:p w14:paraId="66F2716A">
            <w:pPr>
              <w:numPr>
                <w:ilvl w:val="0"/>
                <w:numId w:val="0"/>
              </w:numPr>
              <w:spacing w:line="360" w:lineRule="auto"/>
              <w:jc w:val="both"/>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w:t>
            </w:r>
            <w:r>
              <w:rPr>
                <w:rFonts w:hint="default" w:ascii="Times New Roman" w:hAnsi="Times New Roman" w:eastAsia="宋体" w:cs="Times New Roman"/>
                <w:kern w:val="2"/>
                <w:sz w:val="21"/>
                <w:szCs w:val="21"/>
                <w:highlight w:val="none"/>
                <w:lang w:val="en-US" w:eastAsia="zh-CN" w:bidi="ar-SA"/>
              </w:rPr>
              <w:t>1）生活垃圾：由市政环卫部门统一处理。</w:t>
            </w:r>
          </w:p>
          <w:p w14:paraId="466FB602">
            <w:pPr>
              <w:numPr>
                <w:ilvl w:val="0"/>
                <w:numId w:val="0"/>
              </w:numPr>
              <w:spacing w:line="360" w:lineRule="auto"/>
              <w:jc w:val="both"/>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（2）废离子交换树脂：交由原厂回收。</w:t>
            </w:r>
          </w:p>
          <w:p w14:paraId="579B3837">
            <w:pPr>
              <w:numPr>
                <w:ilvl w:val="0"/>
                <w:numId w:val="0"/>
              </w:numPr>
              <w:spacing w:line="360" w:lineRule="auto"/>
              <w:jc w:val="both"/>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（3）玉米皮、玉米须、玉米芯及切端废物：外售综合利用</w:t>
            </w:r>
          </w:p>
          <w:p w14:paraId="55658DDA">
            <w:pPr>
              <w:numPr>
                <w:ilvl w:val="0"/>
                <w:numId w:val="0"/>
              </w:numPr>
              <w:spacing w:line="360" w:lineRule="auto"/>
              <w:jc w:val="both"/>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（4）锅炉灰渣：外售综合利用。</w:t>
            </w:r>
          </w:p>
          <w:p w14:paraId="5C7B14CF">
            <w:pPr>
              <w:numPr>
                <w:ilvl w:val="0"/>
                <w:numId w:val="0"/>
              </w:numPr>
              <w:spacing w:line="360" w:lineRule="auto"/>
              <w:jc w:val="both"/>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（5）锅炉</w:t>
            </w:r>
            <w:r>
              <w:rPr>
                <w:rFonts w:hint="default" w:ascii="Times New Roman" w:hAnsi="Times New Roman" w:eastAsia="宋体" w:cs="Times New Roman"/>
                <w:kern w:val="2"/>
                <w:sz w:val="21"/>
                <w:szCs w:val="21"/>
                <w:highlight w:val="none"/>
                <w:lang w:val="en-US" w:eastAsia="zh-CN" w:bidi="ar-SA"/>
              </w:rPr>
              <w:t>旋风+</w:t>
            </w:r>
            <w:r>
              <w:rPr>
                <w:rFonts w:hint="default" w:ascii="Times New Roman" w:hAnsi="Times New Roman" w:eastAsia="宋体" w:cs="Times New Roman"/>
                <w:kern w:val="2"/>
                <w:sz w:val="21"/>
                <w:szCs w:val="21"/>
                <w:highlight w:val="none"/>
                <w:lang w:val="en-US" w:eastAsia="zh-CN" w:bidi="ar-SA"/>
              </w:rPr>
              <w:t>布袋除尘器</w:t>
            </w:r>
            <w:r>
              <w:rPr>
                <w:rFonts w:hint="default" w:ascii="Times New Roman" w:hAnsi="Times New Roman" w:eastAsia="宋体" w:cs="Times New Roman"/>
                <w:kern w:val="2"/>
                <w:sz w:val="21"/>
                <w:szCs w:val="21"/>
                <w:highlight w:val="none"/>
                <w:lang w:val="en-US" w:eastAsia="zh-CN" w:bidi="ar-SA"/>
              </w:rPr>
              <w:t>除尘灰：外售综合利用。</w:t>
            </w:r>
          </w:p>
          <w:p w14:paraId="3B86F3FA">
            <w:pPr>
              <w:numPr>
                <w:ilvl w:val="0"/>
                <w:numId w:val="0"/>
              </w:numPr>
              <w:spacing w:line="360" w:lineRule="auto"/>
              <w:jc w:val="both"/>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（6）废包装材料：交由原厂回收。</w:t>
            </w:r>
          </w:p>
          <w:p w14:paraId="4101E8D6">
            <w:pPr>
              <w:numPr>
                <w:ilvl w:val="0"/>
                <w:numId w:val="0"/>
              </w:numPr>
              <w:spacing w:line="360" w:lineRule="auto"/>
              <w:ind w:left="0" w:lef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eastAsia="宋体" w:cs="Times New Roman"/>
                <w:kern w:val="2"/>
                <w:sz w:val="21"/>
                <w:szCs w:val="21"/>
                <w:highlight w:val="none"/>
                <w:lang w:val="en-US" w:eastAsia="zh-CN" w:bidi="ar-SA"/>
              </w:rPr>
              <w:t>（7）废布袋：交由原厂回收。</w:t>
            </w:r>
          </w:p>
        </w:tc>
      </w:tr>
      <w:tr w14:paraId="4EEB7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778" w:type="dxa"/>
            <w:noWrap w:val="0"/>
            <w:vAlign w:val="center"/>
          </w:tcPr>
          <w:p w14:paraId="15CC33B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w:t>
            </w:r>
          </w:p>
          <w:p w14:paraId="180853A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7022" w:type="dxa"/>
            <w:gridSpan w:val="4"/>
            <w:noWrap w:val="0"/>
            <w:vAlign w:val="center"/>
          </w:tcPr>
          <w:p w14:paraId="4E5504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w:t>
            </w:r>
          </w:p>
        </w:tc>
      </w:tr>
      <w:tr w14:paraId="7BDAE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778" w:type="dxa"/>
            <w:noWrap w:val="0"/>
            <w:vAlign w:val="center"/>
          </w:tcPr>
          <w:p w14:paraId="2B50E54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7022" w:type="dxa"/>
            <w:gridSpan w:val="4"/>
            <w:noWrap w:val="0"/>
            <w:vAlign w:val="center"/>
          </w:tcPr>
          <w:p w14:paraId="5D51597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r>
      <w:tr w14:paraId="6AA75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778" w:type="dxa"/>
            <w:noWrap w:val="0"/>
            <w:vAlign w:val="center"/>
          </w:tcPr>
          <w:p w14:paraId="51C8A94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p w14:paraId="42C4D713">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防范措施</w:t>
            </w:r>
          </w:p>
        </w:tc>
        <w:tc>
          <w:tcPr>
            <w:tcW w:w="7022" w:type="dxa"/>
            <w:gridSpan w:val="4"/>
            <w:noWrap w:val="0"/>
            <w:vAlign w:val="center"/>
          </w:tcPr>
          <w:p w14:paraId="1D926F2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r>
      <w:tr w14:paraId="56CDA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1778" w:type="dxa"/>
            <w:noWrap w:val="0"/>
            <w:vAlign w:val="center"/>
          </w:tcPr>
          <w:p w14:paraId="434699D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其他环境</w:t>
            </w:r>
          </w:p>
          <w:p w14:paraId="67C01F2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管理要求</w:t>
            </w:r>
          </w:p>
        </w:tc>
        <w:tc>
          <w:tcPr>
            <w:tcW w:w="7022" w:type="dxa"/>
            <w:gridSpan w:val="4"/>
            <w:noWrap w:val="0"/>
            <w:vAlign w:val="center"/>
          </w:tcPr>
          <w:p w14:paraId="3747E4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1、日常环境管理制度</w:t>
            </w:r>
          </w:p>
          <w:p w14:paraId="4CD3CF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建成后，应按当地环境主管部门的要求加强对企业或单位的环境管理，要求建立健全的日常环境管理制度、组织机构、环境管理台账。该项目设有安全环保部及专职管理人员，负责项目区内各项环保设施的运行及管理。</w:t>
            </w:r>
          </w:p>
          <w:p w14:paraId="1382BD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2、排污口规范化、落实监测计划和信息公开制度。在项目建成投运之前，按照《固定污染源排污许可分</w:t>
            </w:r>
            <w:r>
              <w:rPr>
                <w:rFonts w:hint="default" w:ascii="Times New Roman" w:hAnsi="Times New Roman" w:cs="Times New Roman"/>
                <w:color w:val="auto"/>
                <w:sz w:val="21"/>
                <w:szCs w:val="21"/>
                <w:highlight w:val="none"/>
              </w:rPr>
              <w:t>类管理名录（2019年版）》的要求填报排污许可手续。</w:t>
            </w:r>
          </w:p>
        </w:tc>
      </w:tr>
    </w:tbl>
    <w:p w14:paraId="35999802">
      <w:pPr>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bookmarkStart w:id="11" w:name="_Toc8274"/>
      <w:r>
        <w:rPr>
          <w:rFonts w:hint="default" w:ascii="Times New Roman" w:hAnsi="Times New Roman" w:eastAsia="黑体" w:cs="Times New Roman"/>
          <w:snapToGrid w:val="0"/>
          <w:color w:val="auto"/>
          <w:sz w:val="30"/>
          <w:szCs w:val="30"/>
          <w:highlight w:val="none"/>
        </w:rPr>
        <w:t>六、结论</w:t>
      </w:r>
      <w:bookmarkEnd w:id="11"/>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A453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8" w:hRule="atLeast"/>
          <w:jc w:val="center"/>
        </w:trPr>
        <w:tc>
          <w:tcPr>
            <w:tcW w:w="8865" w:type="dxa"/>
            <w:noWrap w:val="0"/>
            <w:vAlign w:val="center"/>
          </w:tcPr>
          <w:p w14:paraId="3F27FF82">
            <w:pPr>
              <w:spacing w:line="360" w:lineRule="auto"/>
              <w:ind w:firstLine="420" w:firstLineChars="200"/>
              <w:rPr>
                <w:rFonts w:hint="default" w:ascii="Times New Roman" w:hAnsi="Times New Roman" w:cs="Times New Roman"/>
                <w:color w:val="auto"/>
                <w:sz w:val="24"/>
                <w:highlight w:val="none"/>
              </w:rPr>
            </w:pPr>
            <w:r>
              <w:rPr>
                <w:rFonts w:hint="default" w:ascii="Times New Roman" w:hAnsi="Times New Roman" w:cs="Times New Roman"/>
                <w:color w:val="auto"/>
                <w:szCs w:val="21"/>
                <w:highlight w:val="none"/>
              </w:rPr>
              <w:t>本项目建设符合国家产业政策要求，项目在采用本次环境影响评价提出的各项污染防治措施后，对项目周围环境及各保护目标环境质量现状影响较小。因此，从环境保护角度而言，本项目建设是可行的。</w:t>
            </w:r>
          </w:p>
        </w:tc>
      </w:tr>
    </w:tbl>
    <w:p w14:paraId="3A35DFF6">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2B5A999">
      <w:pPr>
        <w:adjustRightInd w:val="0"/>
        <w:snapToGrid w:val="0"/>
        <w:spacing w:line="648" w:lineRule="auto"/>
        <w:outlineLvl w:val="0"/>
        <w:rPr>
          <w:rFonts w:hint="default" w:ascii="Times New Roman" w:hAnsi="Times New Roman" w:eastAsia="黑体" w:cs="Times New Roman"/>
          <w:snapToGrid w:val="0"/>
          <w:color w:val="auto"/>
          <w:sz w:val="32"/>
          <w:szCs w:val="32"/>
          <w:highlight w:val="none"/>
        </w:rPr>
      </w:pPr>
      <w:bookmarkStart w:id="12" w:name="_Toc24785"/>
      <w:r>
        <w:rPr>
          <w:rFonts w:hint="default" w:ascii="Times New Roman" w:hAnsi="Times New Roman" w:eastAsia="黑体" w:cs="Times New Roman"/>
          <w:snapToGrid w:val="0"/>
          <w:color w:val="auto"/>
          <w:sz w:val="32"/>
          <w:szCs w:val="32"/>
          <w:highlight w:val="none"/>
        </w:rPr>
        <w:t>附表</w:t>
      </w:r>
      <w:bookmarkEnd w:id="12"/>
    </w:p>
    <w:p w14:paraId="036F4CB9">
      <w:pPr>
        <w:adjustRightInd w:val="0"/>
        <w:snapToGrid w:val="0"/>
        <w:jc w:val="center"/>
        <w:outlineLvl w:val="0"/>
        <w:rPr>
          <w:rFonts w:hint="default" w:ascii="Times New Roman" w:hAnsi="Times New Roman" w:eastAsia="方正小标宋_GBK" w:cs="Times New Roman"/>
          <w:snapToGrid w:val="0"/>
          <w:color w:val="auto"/>
          <w:sz w:val="38"/>
          <w:szCs w:val="38"/>
          <w:highlight w:val="none"/>
        </w:rPr>
      </w:pPr>
      <w:bookmarkStart w:id="13" w:name="_Toc157"/>
      <w:r>
        <w:rPr>
          <w:rFonts w:hint="default" w:ascii="Times New Roman" w:hAnsi="Times New Roman" w:eastAsia="方正小标宋_GBK" w:cs="Times New Roman"/>
          <w:snapToGrid w:val="0"/>
          <w:color w:val="auto"/>
          <w:sz w:val="38"/>
          <w:szCs w:val="38"/>
          <w:highlight w:val="none"/>
        </w:rPr>
        <w:t>建设项目污染物排放量汇总表</w:t>
      </w:r>
      <w:bookmarkEnd w:id="13"/>
    </w:p>
    <w:tbl>
      <w:tblPr>
        <w:tblStyle w:val="1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16"/>
        <w:gridCol w:w="1169"/>
      </w:tblGrid>
      <w:tr w14:paraId="7CECD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1588" w:type="dxa"/>
            <w:tcBorders>
              <w:tl2br w:val="single" w:color="auto" w:sz="4" w:space="0"/>
            </w:tcBorders>
            <w:noWrap w:val="0"/>
            <w:tcMar>
              <w:left w:w="28" w:type="dxa"/>
              <w:right w:w="28" w:type="dxa"/>
            </w:tcMar>
            <w:vAlign w:val="center"/>
          </w:tcPr>
          <w:p w14:paraId="743423F1">
            <w:pPr>
              <w:pStyle w:val="31"/>
              <w:keepNext w:val="0"/>
              <w:keepLines w:val="0"/>
              <w:pageBreakBefore w:val="0"/>
              <w:widowControl w:val="0"/>
              <w:kinsoku/>
              <w:wordWrap/>
              <w:overflowPunct/>
              <w:topLinePunct w:val="0"/>
              <w:autoSpaceDE/>
              <w:autoSpaceDN/>
              <w:bidi w:val="0"/>
              <w:spacing w:beforeLines="0" w:afterLines="0" w:line="240" w:lineRule="auto"/>
              <w:jc w:val="right"/>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项目</w:t>
            </w:r>
          </w:p>
          <w:p w14:paraId="447A7906">
            <w:pPr>
              <w:pStyle w:val="31"/>
              <w:keepNext w:val="0"/>
              <w:keepLines w:val="0"/>
              <w:pageBreakBefore w:val="0"/>
              <w:widowControl w:val="0"/>
              <w:kinsoku/>
              <w:wordWrap/>
              <w:overflowPunct/>
              <w:topLinePunct w:val="0"/>
              <w:autoSpaceDE/>
              <w:autoSpaceDN/>
              <w:bidi w:val="0"/>
              <w:spacing w:beforeLines="0" w:afterLines="0" w:line="240" w:lineRule="auto"/>
              <w:jc w:val="left"/>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分类</w:t>
            </w:r>
          </w:p>
        </w:tc>
        <w:tc>
          <w:tcPr>
            <w:tcW w:w="1417" w:type="dxa"/>
            <w:noWrap w:val="0"/>
            <w:tcMar>
              <w:left w:w="28" w:type="dxa"/>
              <w:right w:w="28" w:type="dxa"/>
            </w:tcMar>
            <w:vAlign w:val="center"/>
          </w:tcPr>
          <w:p w14:paraId="6109862C">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污染物名称</w:t>
            </w:r>
          </w:p>
        </w:tc>
        <w:tc>
          <w:tcPr>
            <w:tcW w:w="1701" w:type="dxa"/>
            <w:noWrap w:val="0"/>
            <w:tcMar>
              <w:left w:w="28" w:type="dxa"/>
              <w:right w:w="28" w:type="dxa"/>
            </w:tcMar>
            <w:vAlign w:val="center"/>
          </w:tcPr>
          <w:p w14:paraId="216278B4">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现有工程</w:t>
            </w:r>
          </w:p>
          <w:p w14:paraId="4B3D13E2">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1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①</w:t>
            </w:r>
            <w:r>
              <w:rPr>
                <w:rFonts w:hint="default" w:ascii="Times New Roman" w:hAnsi="Times New Roman" w:eastAsia="黑体" w:cs="Times New Roman"/>
                <w:snapToGrid w:val="0"/>
                <w:color w:val="auto"/>
                <w:kern w:val="21"/>
                <w:sz w:val="21"/>
                <w:szCs w:val="21"/>
                <w:highlight w:val="none"/>
              </w:rPr>
              <w:fldChar w:fldCharType="end"/>
            </w:r>
          </w:p>
        </w:tc>
        <w:tc>
          <w:tcPr>
            <w:tcW w:w="1276" w:type="dxa"/>
            <w:noWrap w:val="0"/>
            <w:tcMar>
              <w:left w:w="28" w:type="dxa"/>
              <w:right w:w="28" w:type="dxa"/>
            </w:tcMar>
            <w:vAlign w:val="center"/>
          </w:tcPr>
          <w:p w14:paraId="084221FF">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现有工程</w:t>
            </w:r>
          </w:p>
          <w:p w14:paraId="7E0C078C">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许可排放量</w:t>
            </w:r>
          </w:p>
          <w:p w14:paraId="69BDAFB9">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2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snapToGrid w:val="0"/>
                <w:color w:val="auto"/>
                <w:kern w:val="21"/>
                <w:sz w:val="21"/>
                <w:szCs w:val="21"/>
                <w:highlight w:val="none"/>
              </w:rPr>
              <w:t>②</w:t>
            </w:r>
            <w:r>
              <w:rPr>
                <w:rFonts w:hint="default" w:ascii="Times New Roman" w:hAnsi="Times New Roman" w:eastAsia="黑体" w:cs="Times New Roman"/>
                <w:snapToGrid w:val="0"/>
                <w:color w:val="auto"/>
                <w:kern w:val="21"/>
                <w:sz w:val="21"/>
                <w:szCs w:val="21"/>
                <w:highlight w:val="none"/>
              </w:rPr>
              <w:fldChar w:fldCharType="end"/>
            </w:r>
          </w:p>
        </w:tc>
        <w:tc>
          <w:tcPr>
            <w:tcW w:w="1701" w:type="dxa"/>
            <w:noWrap w:val="0"/>
            <w:tcMar>
              <w:left w:w="28" w:type="dxa"/>
              <w:right w:w="28" w:type="dxa"/>
            </w:tcMar>
            <w:vAlign w:val="center"/>
          </w:tcPr>
          <w:p w14:paraId="7A5BB54E">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在建工程</w:t>
            </w:r>
          </w:p>
          <w:p w14:paraId="529158D7">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3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③</w:t>
            </w:r>
            <w:r>
              <w:rPr>
                <w:rFonts w:hint="default" w:ascii="Times New Roman" w:hAnsi="Times New Roman" w:eastAsia="黑体" w:cs="Times New Roman"/>
                <w:snapToGrid w:val="0"/>
                <w:color w:val="auto"/>
                <w:kern w:val="21"/>
                <w:sz w:val="21"/>
                <w:szCs w:val="21"/>
                <w:highlight w:val="none"/>
              </w:rPr>
              <w:fldChar w:fldCharType="end"/>
            </w:r>
          </w:p>
        </w:tc>
        <w:tc>
          <w:tcPr>
            <w:tcW w:w="1559" w:type="dxa"/>
            <w:noWrap w:val="0"/>
            <w:tcMar>
              <w:left w:w="28" w:type="dxa"/>
              <w:right w:w="28" w:type="dxa"/>
            </w:tcMar>
            <w:vAlign w:val="center"/>
          </w:tcPr>
          <w:p w14:paraId="348532F0">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本项目</w:t>
            </w:r>
          </w:p>
          <w:p w14:paraId="2BDB905C">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4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④</w:t>
            </w:r>
            <w:r>
              <w:rPr>
                <w:rFonts w:hint="default" w:ascii="Times New Roman" w:hAnsi="Times New Roman" w:eastAsia="黑体" w:cs="Times New Roman"/>
                <w:snapToGrid w:val="0"/>
                <w:color w:val="auto"/>
                <w:kern w:val="21"/>
                <w:sz w:val="21"/>
                <w:szCs w:val="21"/>
                <w:highlight w:val="none"/>
              </w:rPr>
              <w:fldChar w:fldCharType="end"/>
            </w:r>
          </w:p>
        </w:tc>
        <w:tc>
          <w:tcPr>
            <w:tcW w:w="1761" w:type="dxa"/>
            <w:noWrap w:val="0"/>
            <w:tcMar>
              <w:left w:w="28" w:type="dxa"/>
              <w:right w:w="28" w:type="dxa"/>
            </w:tcMar>
            <w:vAlign w:val="center"/>
          </w:tcPr>
          <w:p w14:paraId="4265D680">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以新带老削减量</w:t>
            </w:r>
          </w:p>
          <w:p w14:paraId="506340C6">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（新建项目不填）</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5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⑤</w:t>
            </w:r>
            <w:r>
              <w:rPr>
                <w:rFonts w:hint="default" w:ascii="Times New Roman" w:hAnsi="Times New Roman" w:eastAsia="黑体" w:cs="Times New Roman"/>
                <w:snapToGrid w:val="0"/>
                <w:color w:val="auto"/>
                <w:kern w:val="21"/>
                <w:sz w:val="21"/>
                <w:szCs w:val="21"/>
                <w:highlight w:val="none"/>
              </w:rPr>
              <w:fldChar w:fldCharType="end"/>
            </w:r>
          </w:p>
        </w:tc>
        <w:tc>
          <w:tcPr>
            <w:tcW w:w="1616" w:type="dxa"/>
            <w:noWrap w:val="0"/>
            <w:tcMar>
              <w:left w:w="28" w:type="dxa"/>
              <w:right w:w="28" w:type="dxa"/>
            </w:tcMar>
            <w:vAlign w:val="center"/>
          </w:tcPr>
          <w:p w14:paraId="7B44A324">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本项目建成后</w:t>
            </w:r>
          </w:p>
          <w:p w14:paraId="3EC296AB">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全厂排放量（固体废物产生量）</w:t>
            </w: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6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⑥</w:t>
            </w:r>
            <w:r>
              <w:rPr>
                <w:rFonts w:hint="default" w:ascii="Times New Roman" w:hAnsi="Times New Roman" w:eastAsia="黑体" w:cs="Times New Roman"/>
                <w:snapToGrid w:val="0"/>
                <w:color w:val="auto"/>
                <w:kern w:val="21"/>
                <w:sz w:val="21"/>
                <w:szCs w:val="21"/>
                <w:highlight w:val="none"/>
              </w:rPr>
              <w:fldChar w:fldCharType="end"/>
            </w:r>
          </w:p>
        </w:tc>
        <w:tc>
          <w:tcPr>
            <w:tcW w:w="1169" w:type="dxa"/>
            <w:noWrap w:val="0"/>
            <w:tcMar>
              <w:left w:w="28" w:type="dxa"/>
              <w:right w:w="28" w:type="dxa"/>
            </w:tcMar>
            <w:vAlign w:val="center"/>
          </w:tcPr>
          <w:p w14:paraId="5357B48E">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t>变化量</w:t>
            </w:r>
          </w:p>
          <w:p w14:paraId="6B2A071A">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eastAsia="黑体" w:cs="Times New Roman"/>
                <w:snapToGrid w:val="0"/>
                <w:color w:val="auto"/>
                <w:kern w:val="21"/>
                <w:sz w:val="21"/>
                <w:szCs w:val="21"/>
                <w:highlight w:val="none"/>
              </w:rPr>
            </w:pPr>
            <w:r>
              <w:rPr>
                <w:rFonts w:hint="default" w:ascii="Times New Roman" w:hAnsi="Times New Roman" w:eastAsia="黑体" w:cs="Times New Roman"/>
                <w:snapToGrid w:val="0"/>
                <w:color w:val="auto"/>
                <w:kern w:val="21"/>
                <w:sz w:val="21"/>
                <w:szCs w:val="21"/>
                <w:highlight w:val="none"/>
              </w:rPr>
              <w:fldChar w:fldCharType="begin"/>
            </w:r>
            <w:r>
              <w:rPr>
                <w:rFonts w:hint="default" w:ascii="Times New Roman" w:hAnsi="Times New Roman" w:eastAsia="黑体" w:cs="Times New Roman"/>
                <w:snapToGrid w:val="0"/>
                <w:color w:val="auto"/>
                <w:kern w:val="21"/>
                <w:sz w:val="21"/>
                <w:szCs w:val="21"/>
                <w:highlight w:val="none"/>
              </w:rPr>
              <w:instrText xml:space="preserve"> = 7 \* GB3 \* MERGEFORMAT </w:instrText>
            </w:r>
            <w:r>
              <w:rPr>
                <w:rFonts w:hint="default" w:ascii="Times New Roman" w:hAnsi="Times New Roman" w:eastAsia="黑体" w:cs="Times New Roman"/>
                <w:snapToGrid w:val="0"/>
                <w:color w:val="auto"/>
                <w:kern w:val="21"/>
                <w:sz w:val="21"/>
                <w:szCs w:val="21"/>
                <w:highlight w:val="none"/>
              </w:rPr>
              <w:fldChar w:fldCharType="separate"/>
            </w:r>
            <w:r>
              <w:rPr>
                <w:rFonts w:hint="default" w:ascii="Times New Roman" w:hAnsi="Times New Roman" w:eastAsia="黑体" w:cs="Times New Roman"/>
                <w:color w:val="auto"/>
                <w:kern w:val="2"/>
                <w:sz w:val="21"/>
                <w:szCs w:val="21"/>
                <w:highlight w:val="none"/>
              </w:rPr>
              <w:t>⑦</w:t>
            </w:r>
            <w:r>
              <w:rPr>
                <w:rFonts w:hint="default" w:ascii="Times New Roman" w:hAnsi="Times New Roman" w:eastAsia="黑体" w:cs="Times New Roman"/>
                <w:snapToGrid w:val="0"/>
                <w:color w:val="auto"/>
                <w:kern w:val="21"/>
                <w:sz w:val="21"/>
                <w:szCs w:val="21"/>
                <w:highlight w:val="none"/>
              </w:rPr>
              <w:fldChar w:fldCharType="end"/>
            </w:r>
          </w:p>
        </w:tc>
      </w:tr>
      <w:tr w14:paraId="451E0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88" w:type="dxa"/>
            <w:vMerge w:val="restart"/>
            <w:noWrap w:val="0"/>
            <w:vAlign w:val="center"/>
          </w:tcPr>
          <w:p w14:paraId="4FC7FB60">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lang w:eastAsia="zh-CN"/>
              </w:rPr>
              <w:t>锅炉</w:t>
            </w:r>
            <w:r>
              <w:rPr>
                <w:rFonts w:hint="default" w:ascii="Times New Roman" w:hAnsi="Times New Roman" w:cs="Times New Roman"/>
                <w:snapToGrid w:val="0"/>
                <w:color w:val="auto"/>
                <w:kern w:val="21"/>
                <w:sz w:val="21"/>
                <w:szCs w:val="21"/>
                <w:highlight w:val="none"/>
              </w:rPr>
              <w:t>废气</w:t>
            </w:r>
          </w:p>
        </w:tc>
        <w:tc>
          <w:tcPr>
            <w:tcW w:w="1417" w:type="dxa"/>
            <w:noWrap w:val="0"/>
            <w:vAlign w:val="center"/>
          </w:tcPr>
          <w:p w14:paraId="0F3154DC">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颗粒物</w:t>
            </w:r>
          </w:p>
        </w:tc>
        <w:tc>
          <w:tcPr>
            <w:tcW w:w="1701" w:type="dxa"/>
            <w:noWrap w:val="0"/>
            <w:vAlign w:val="center"/>
          </w:tcPr>
          <w:p w14:paraId="67FBD10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5A55785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2840AC9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4E59C9F8">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0.053 </w:t>
            </w:r>
          </w:p>
        </w:tc>
        <w:tc>
          <w:tcPr>
            <w:tcW w:w="1761" w:type="dxa"/>
            <w:noWrap w:val="0"/>
            <w:vAlign w:val="center"/>
          </w:tcPr>
          <w:p w14:paraId="615046C0">
            <w:pPr>
              <w:autoSpaceDE w:val="0"/>
              <w:autoSpaceDN w:val="0"/>
              <w:jc w:val="center"/>
              <w:rPr>
                <w:rFonts w:hint="default" w:ascii="Times New Roman" w:hAnsi="Times New Roman" w:eastAsia="宋体" w:cs="Times New Roman"/>
                <w:sz w:val="21"/>
                <w:szCs w:val="21"/>
                <w:highlight w:val="none"/>
                <w:lang w:val="en-US" w:eastAsia="zh-CN"/>
              </w:rPr>
            </w:pPr>
          </w:p>
        </w:tc>
        <w:tc>
          <w:tcPr>
            <w:tcW w:w="1616" w:type="dxa"/>
            <w:noWrap w:val="0"/>
            <w:vAlign w:val="center"/>
          </w:tcPr>
          <w:p w14:paraId="609A652D">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0.053 </w:t>
            </w:r>
          </w:p>
        </w:tc>
        <w:tc>
          <w:tcPr>
            <w:tcW w:w="1169" w:type="dxa"/>
            <w:noWrap w:val="0"/>
            <w:vAlign w:val="center"/>
          </w:tcPr>
          <w:p w14:paraId="4746CF46">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+0.053 </w:t>
            </w:r>
          </w:p>
        </w:tc>
      </w:tr>
      <w:tr w14:paraId="413E0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02D00909">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0936E56">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701" w:type="dxa"/>
            <w:noWrap w:val="0"/>
            <w:vAlign w:val="center"/>
          </w:tcPr>
          <w:p w14:paraId="155B87B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37376D1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4C833AF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4ED976B0">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0.165 </w:t>
            </w:r>
          </w:p>
        </w:tc>
        <w:tc>
          <w:tcPr>
            <w:tcW w:w="1761" w:type="dxa"/>
            <w:noWrap w:val="0"/>
            <w:vAlign w:val="center"/>
          </w:tcPr>
          <w:p w14:paraId="4D3C55B1">
            <w:pPr>
              <w:autoSpaceDE w:val="0"/>
              <w:autoSpaceDN w:val="0"/>
              <w:jc w:val="center"/>
              <w:rPr>
                <w:rFonts w:hint="default" w:ascii="Times New Roman" w:hAnsi="Times New Roman" w:eastAsia="宋体" w:cs="Times New Roman"/>
                <w:sz w:val="21"/>
                <w:szCs w:val="21"/>
                <w:highlight w:val="none"/>
                <w:lang w:val="en-US" w:eastAsia="zh-CN"/>
              </w:rPr>
            </w:pPr>
          </w:p>
        </w:tc>
        <w:tc>
          <w:tcPr>
            <w:tcW w:w="1616" w:type="dxa"/>
            <w:noWrap w:val="0"/>
            <w:vAlign w:val="center"/>
          </w:tcPr>
          <w:p w14:paraId="2F5F9AC4">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0.165 </w:t>
            </w:r>
          </w:p>
        </w:tc>
        <w:tc>
          <w:tcPr>
            <w:tcW w:w="1169" w:type="dxa"/>
            <w:noWrap w:val="0"/>
            <w:vAlign w:val="center"/>
          </w:tcPr>
          <w:p w14:paraId="7A43601D">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+0.165 </w:t>
            </w:r>
          </w:p>
        </w:tc>
      </w:tr>
      <w:tr w14:paraId="5278A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7EE17573">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29C399C8">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701" w:type="dxa"/>
            <w:noWrap w:val="0"/>
            <w:vAlign w:val="center"/>
          </w:tcPr>
          <w:p w14:paraId="58215EF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2C08857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7E66654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44E18DA7">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0.313 </w:t>
            </w:r>
          </w:p>
        </w:tc>
        <w:tc>
          <w:tcPr>
            <w:tcW w:w="1761" w:type="dxa"/>
            <w:noWrap w:val="0"/>
            <w:vAlign w:val="center"/>
          </w:tcPr>
          <w:p w14:paraId="0E87EAE7">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616" w:type="dxa"/>
            <w:noWrap w:val="0"/>
            <w:vAlign w:val="center"/>
          </w:tcPr>
          <w:p w14:paraId="4DC6D8E9">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0.313 </w:t>
            </w:r>
          </w:p>
        </w:tc>
        <w:tc>
          <w:tcPr>
            <w:tcW w:w="1169" w:type="dxa"/>
            <w:noWrap w:val="0"/>
            <w:vAlign w:val="center"/>
          </w:tcPr>
          <w:p w14:paraId="6316C055">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 xml:space="preserve">+0.313 </w:t>
            </w:r>
          </w:p>
        </w:tc>
      </w:tr>
      <w:tr w14:paraId="10B6E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restart"/>
            <w:noWrap w:val="0"/>
            <w:vAlign w:val="center"/>
          </w:tcPr>
          <w:p w14:paraId="6D37DFA2">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417" w:type="dxa"/>
            <w:noWrap w:val="0"/>
            <w:vAlign w:val="center"/>
          </w:tcPr>
          <w:p w14:paraId="0CBE884E">
            <w:pPr>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rPr>
              <w:t>COD</w:t>
            </w:r>
          </w:p>
        </w:tc>
        <w:tc>
          <w:tcPr>
            <w:tcW w:w="1701" w:type="dxa"/>
            <w:noWrap w:val="0"/>
            <w:vAlign w:val="center"/>
          </w:tcPr>
          <w:p w14:paraId="6143327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2C916F7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2CFB2D9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7480FA3F">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0.034</w:t>
            </w:r>
          </w:p>
        </w:tc>
        <w:tc>
          <w:tcPr>
            <w:tcW w:w="1761" w:type="dxa"/>
            <w:noWrap w:val="0"/>
            <w:vAlign w:val="center"/>
          </w:tcPr>
          <w:p w14:paraId="361FE9B2">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616" w:type="dxa"/>
            <w:noWrap w:val="0"/>
            <w:vAlign w:val="center"/>
          </w:tcPr>
          <w:p w14:paraId="002E7887">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0.034</w:t>
            </w:r>
          </w:p>
        </w:tc>
        <w:tc>
          <w:tcPr>
            <w:tcW w:w="1169" w:type="dxa"/>
            <w:noWrap w:val="0"/>
            <w:vAlign w:val="center"/>
          </w:tcPr>
          <w:p w14:paraId="07BCAE81">
            <w:pPr>
              <w:autoSpaceDE w:val="0"/>
              <w:autoSpaceDN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+0.034</w:t>
            </w:r>
          </w:p>
        </w:tc>
      </w:tr>
      <w:tr w14:paraId="35BAC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0C8A9840">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137511F4">
            <w:pPr>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rPr>
              <w:t>氨氮</w:t>
            </w:r>
          </w:p>
        </w:tc>
        <w:tc>
          <w:tcPr>
            <w:tcW w:w="1701" w:type="dxa"/>
            <w:noWrap w:val="0"/>
            <w:vAlign w:val="center"/>
          </w:tcPr>
          <w:p w14:paraId="1AFA7FC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01391E7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31B6888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7C5D8082">
            <w:pPr>
              <w:autoSpaceDE w:val="0"/>
              <w:autoSpaceDN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0.00017</w:t>
            </w:r>
          </w:p>
        </w:tc>
        <w:tc>
          <w:tcPr>
            <w:tcW w:w="1761" w:type="dxa"/>
            <w:noWrap w:val="0"/>
            <w:vAlign w:val="center"/>
          </w:tcPr>
          <w:p w14:paraId="4D3C388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6A507381">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z w:val="21"/>
                <w:szCs w:val="21"/>
                <w:highlight w:val="none"/>
                <w:lang w:val="en-US" w:eastAsia="zh-CN"/>
              </w:rPr>
              <w:t>0.00017</w:t>
            </w:r>
          </w:p>
        </w:tc>
        <w:tc>
          <w:tcPr>
            <w:tcW w:w="1169" w:type="dxa"/>
            <w:noWrap w:val="0"/>
            <w:vAlign w:val="center"/>
          </w:tcPr>
          <w:p w14:paraId="65AE8CE9">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0.00017</w:t>
            </w:r>
          </w:p>
        </w:tc>
      </w:tr>
      <w:tr w14:paraId="30804D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7EA2406E">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6D349589">
            <w:pPr>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rPr>
              <w:t>SS</w:t>
            </w:r>
          </w:p>
        </w:tc>
        <w:tc>
          <w:tcPr>
            <w:tcW w:w="1701" w:type="dxa"/>
            <w:noWrap w:val="0"/>
            <w:vAlign w:val="center"/>
          </w:tcPr>
          <w:p w14:paraId="54372D0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4C4E492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54D952D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5B20BE0E">
            <w:pPr>
              <w:autoSpaceDE w:val="0"/>
              <w:autoSpaceDN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0.0297</w:t>
            </w:r>
          </w:p>
        </w:tc>
        <w:tc>
          <w:tcPr>
            <w:tcW w:w="1761" w:type="dxa"/>
            <w:noWrap w:val="0"/>
            <w:vAlign w:val="center"/>
          </w:tcPr>
          <w:p w14:paraId="7436AE4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0F5FFB61">
            <w:pPr>
              <w:autoSpaceDE w:val="0"/>
              <w:autoSpaceDN w:val="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z w:val="21"/>
                <w:szCs w:val="21"/>
                <w:highlight w:val="none"/>
                <w:lang w:val="en-US" w:eastAsia="zh-CN"/>
              </w:rPr>
              <w:t>0.0297</w:t>
            </w:r>
          </w:p>
        </w:tc>
        <w:tc>
          <w:tcPr>
            <w:tcW w:w="1169" w:type="dxa"/>
            <w:noWrap w:val="0"/>
            <w:vAlign w:val="center"/>
          </w:tcPr>
          <w:p w14:paraId="4997F332">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0.0297</w:t>
            </w:r>
          </w:p>
        </w:tc>
      </w:tr>
      <w:tr w14:paraId="621EA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39A57811">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C09469A">
            <w:pPr>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rPr>
              <w:t>BOD</w:t>
            </w:r>
            <w:r>
              <w:rPr>
                <w:rFonts w:hint="default" w:ascii="Times New Roman" w:hAnsi="Times New Roman" w:cs="Times New Roman"/>
                <w:sz w:val="21"/>
                <w:szCs w:val="21"/>
                <w:highlight w:val="none"/>
                <w:vertAlign w:val="subscript"/>
              </w:rPr>
              <w:t>5</w:t>
            </w:r>
          </w:p>
        </w:tc>
        <w:tc>
          <w:tcPr>
            <w:tcW w:w="1701" w:type="dxa"/>
            <w:noWrap w:val="0"/>
            <w:vAlign w:val="center"/>
          </w:tcPr>
          <w:p w14:paraId="078C893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07E4F51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6D1A34D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65B98772">
            <w:pPr>
              <w:autoSpaceDE w:val="0"/>
              <w:autoSpaceDN w:val="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0.011</w:t>
            </w:r>
          </w:p>
        </w:tc>
        <w:tc>
          <w:tcPr>
            <w:tcW w:w="1761" w:type="dxa"/>
            <w:noWrap w:val="0"/>
            <w:vAlign w:val="center"/>
          </w:tcPr>
          <w:p w14:paraId="2EDECD5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2930B927">
            <w:pPr>
              <w:autoSpaceDE w:val="0"/>
              <w:autoSpaceDN w:val="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z w:val="21"/>
                <w:szCs w:val="21"/>
                <w:highlight w:val="none"/>
                <w:lang w:val="en-US" w:eastAsia="zh-CN"/>
              </w:rPr>
              <w:t>0.011</w:t>
            </w:r>
          </w:p>
        </w:tc>
        <w:tc>
          <w:tcPr>
            <w:tcW w:w="1169" w:type="dxa"/>
            <w:noWrap w:val="0"/>
            <w:vAlign w:val="center"/>
          </w:tcPr>
          <w:p w14:paraId="475FBDC6">
            <w:pPr>
              <w:autoSpaceDE w:val="0"/>
              <w:autoSpaceDN w:val="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0.011</w:t>
            </w:r>
          </w:p>
        </w:tc>
      </w:tr>
      <w:tr w14:paraId="32C9D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restart"/>
            <w:noWrap w:val="0"/>
            <w:vAlign w:val="center"/>
          </w:tcPr>
          <w:p w14:paraId="0ED9306C">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一般工业</w:t>
            </w:r>
          </w:p>
          <w:p w14:paraId="36444F6C">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固体废物</w:t>
            </w:r>
          </w:p>
        </w:tc>
        <w:tc>
          <w:tcPr>
            <w:tcW w:w="1417" w:type="dxa"/>
            <w:noWrap w:val="0"/>
            <w:vAlign w:val="center"/>
          </w:tcPr>
          <w:p w14:paraId="3BDE5E45">
            <w:pPr>
              <w:autoSpaceDE w:val="0"/>
              <w:autoSpaceDN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sz w:val="21"/>
                <w:szCs w:val="21"/>
                <w:highlight w:val="none"/>
              </w:rPr>
              <w:t>生活垃圾</w:t>
            </w:r>
          </w:p>
        </w:tc>
        <w:tc>
          <w:tcPr>
            <w:tcW w:w="1701" w:type="dxa"/>
            <w:noWrap w:val="0"/>
            <w:vAlign w:val="center"/>
          </w:tcPr>
          <w:p w14:paraId="53A4D35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048FAA0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15ABBC7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4E36638D">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0.8</w:t>
            </w:r>
          </w:p>
        </w:tc>
        <w:tc>
          <w:tcPr>
            <w:tcW w:w="1761" w:type="dxa"/>
            <w:noWrap w:val="0"/>
            <w:vAlign w:val="center"/>
          </w:tcPr>
          <w:p w14:paraId="7A2941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144D64D2">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0.8</w:t>
            </w:r>
          </w:p>
        </w:tc>
        <w:tc>
          <w:tcPr>
            <w:tcW w:w="1169" w:type="dxa"/>
            <w:noWrap w:val="0"/>
            <w:vAlign w:val="center"/>
          </w:tcPr>
          <w:p w14:paraId="31673E0A">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0.8</w:t>
            </w:r>
          </w:p>
        </w:tc>
      </w:tr>
      <w:tr w14:paraId="6A7B9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36873B51">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65168F07">
            <w:pPr>
              <w:autoSpaceDE w:val="0"/>
              <w:autoSpaceDN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sz w:val="21"/>
                <w:szCs w:val="21"/>
                <w:highlight w:val="none"/>
              </w:rPr>
              <w:t>废离子交换树脂</w:t>
            </w:r>
          </w:p>
        </w:tc>
        <w:tc>
          <w:tcPr>
            <w:tcW w:w="1701" w:type="dxa"/>
            <w:noWrap w:val="0"/>
            <w:vAlign w:val="center"/>
          </w:tcPr>
          <w:p w14:paraId="4D30934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2A52F9B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37B4DCE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378FBAFF">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w:t>
            </w:r>
          </w:p>
        </w:tc>
        <w:tc>
          <w:tcPr>
            <w:tcW w:w="1761" w:type="dxa"/>
            <w:noWrap w:val="0"/>
            <w:vAlign w:val="center"/>
          </w:tcPr>
          <w:p w14:paraId="6B9C275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0E220F19">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w:t>
            </w:r>
          </w:p>
        </w:tc>
        <w:tc>
          <w:tcPr>
            <w:tcW w:w="1169" w:type="dxa"/>
            <w:noWrap w:val="0"/>
            <w:vAlign w:val="center"/>
          </w:tcPr>
          <w:p w14:paraId="288D5DCF">
            <w:pPr>
              <w:autoSpaceDE w:val="0"/>
              <w:autoSpaceDN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0.1</w:t>
            </w:r>
          </w:p>
        </w:tc>
      </w:tr>
      <w:tr w14:paraId="116FB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42C4FF98">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84D3811">
            <w:pPr>
              <w:autoSpaceDE w:val="0"/>
              <w:autoSpaceDN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sz w:val="21"/>
                <w:szCs w:val="21"/>
                <w:highlight w:val="none"/>
              </w:rPr>
              <w:t>玉米皮、玉米须</w:t>
            </w:r>
            <w:r>
              <w:rPr>
                <w:rFonts w:hint="default" w:ascii="Times New Roman" w:hAnsi="Times New Roman" w:cs="Times New Roman"/>
                <w:sz w:val="21"/>
                <w:szCs w:val="21"/>
                <w:highlight w:val="none"/>
                <w:lang w:eastAsia="zh-CN"/>
              </w:rPr>
              <w:t>、玉米芯及</w:t>
            </w:r>
            <w:r>
              <w:rPr>
                <w:rFonts w:hint="default" w:ascii="Times New Roman" w:hAnsi="Times New Roman" w:cs="Times New Roman"/>
                <w:sz w:val="21"/>
                <w:szCs w:val="21"/>
                <w:highlight w:val="none"/>
              </w:rPr>
              <w:t>切端废物</w:t>
            </w:r>
          </w:p>
        </w:tc>
        <w:tc>
          <w:tcPr>
            <w:tcW w:w="1701" w:type="dxa"/>
            <w:noWrap w:val="0"/>
            <w:vAlign w:val="center"/>
          </w:tcPr>
          <w:p w14:paraId="5938859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4B58E03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4679206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03BEB414">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250</w:t>
            </w:r>
          </w:p>
        </w:tc>
        <w:tc>
          <w:tcPr>
            <w:tcW w:w="1761" w:type="dxa"/>
            <w:noWrap w:val="0"/>
            <w:vAlign w:val="center"/>
          </w:tcPr>
          <w:p w14:paraId="2C787D8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7C75FF1A">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250</w:t>
            </w:r>
          </w:p>
        </w:tc>
        <w:tc>
          <w:tcPr>
            <w:tcW w:w="1169" w:type="dxa"/>
            <w:noWrap w:val="0"/>
            <w:vAlign w:val="center"/>
          </w:tcPr>
          <w:p w14:paraId="2918625C">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250</w:t>
            </w:r>
          </w:p>
        </w:tc>
      </w:tr>
      <w:tr w14:paraId="15337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6655E0B8">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567608C6">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sz w:val="21"/>
                <w:szCs w:val="21"/>
                <w:highlight w:val="none"/>
              </w:rPr>
              <w:t>灰渣</w:t>
            </w:r>
          </w:p>
        </w:tc>
        <w:tc>
          <w:tcPr>
            <w:tcW w:w="1701" w:type="dxa"/>
            <w:noWrap w:val="0"/>
            <w:vAlign w:val="center"/>
          </w:tcPr>
          <w:p w14:paraId="1293E0B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56975B0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7E6DE91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0E6A4DBD">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sz w:val="21"/>
                <w:szCs w:val="21"/>
                <w:highlight w:val="none"/>
                <w:lang w:val="en-US" w:eastAsia="zh-CN"/>
              </w:rPr>
              <w:t>22.13</w:t>
            </w:r>
          </w:p>
        </w:tc>
        <w:tc>
          <w:tcPr>
            <w:tcW w:w="1761" w:type="dxa"/>
            <w:noWrap w:val="0"/>
            <w:vAlign w:val="center"/>
          </w:tcPr>
          <w:p w14:paraId="5AC4B31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1BCE33F3">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sz w:val="21"/>
                <w:szCs w:val="21"/>
                <w:highlight w:val="none"/>
                <w:lang w:val="en-US" w:eastAsia="zh-CN"/>
              </w:rPr>
              <w:t>22.13</w:t>
            </w:r>
          </w:p>
        </w:tc>
        <w:tc>
          <w:tcPr>
            <w:tcW w:w="1169" w:type="dxa"/>
            <w:noWrap w:val="0"/>
            <w:vAlign w:val="center"/>
          </w:tcPr>
          <w:p w14:paraId="314609E1">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sz w:val="21"/>
                <w:szCs w:val="21"/>
                <w:highlight w:val="none"/>
                <w:lang w:val="en-US" w:eastAsia="zh-CN"/>
              </w:rPr>
              <w:t>22.13</w:t>
            </w:r>
          </w:p>
        </w:tc>
      </w:tr>
      <w:tr w14:paraId="7BF20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46E78E9D">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3AC74303">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sz w:val="21"/>
                <w:szCs w:val="21"/>
                <w:highlight w:val="none"/>
                <w:lang w:eastAsia="zh-CN"/>
              </w:rPr>
              <w:t>除尘器收尘</w:t>
            </w:r>
          </w:p>
        </w:tc>
        <w:tc>
          <w:tcPr>
            <w:tcW w:w="1701" w:type="dxa"/>
            <w:noWrap w:val="0"/>
            <w:vAlign w:val="center"/>
          </w:tcPr>
          <w:p w14:paraId="01BF5BD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18D7F4C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0DCF2CC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28854E8A">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sz w:val="21"/>
                <w:szCs w:val="21"/>
                <w:highlight w:val="none"/>
                <w:lang w:val="en-US" w:eastAsia="zh-CN"/>
              </w:rPr>
              <w:t>17.6</w:t>
            </w:r>
          </w:p>
        </w:tc>
        <w:tc>
          <w:tcPr>
            <w:tcW w:w="1761" w:type="dxa"/>
            <w:noWrap w:val="0"/>
            <w:vAlign w:val="center"/>
          </w:tcPr>
          <w:p w14:paraId="56401E3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618355E2">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sz w:val="21"/>
                <w:szCs w:val="21"/>
                <w:highlight w:val="none"/>
                <w:lang w:val="en-US" w:eastAsia="zh-CN"/>
              </w:rPr>
              <w:t>17.6</w:t>
            </w:r>
          </w:p>
        </w:tc>
        <w:tc>
          <w:tcPr>
            <w:tcW w:w="1169" w:type="dxa"/>
            <w:noWrap w:val="0"/>
            <w:vAlign w:val="center"/>
          </w:tcPr>
          <w:p w14:paraId="63E63346">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sz w:val="21"/>
                <w:szCs w:val="21"/>
                <w:highlight w:val="none"/>
                <w:lang w:val="en-US" w:eastAsia="zh-CN"/>
              </w:rPr>
              <w:t>17.6</w:t>
            </w:r>
          </w:p>
        </w:tc>
      </w:tr>
      <w:tr w14:paraId="72312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74786324">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735E2997">
            <w:pPr>
              <w:jc w:val="center"/>
              <w:rPr>
                <w:rFonts w:hint="default" w:ascii="Times New Roman" w:hAnsi="Times New Roman" w:cs="Times New Roman"/>
                <w:bCs/>
                <w:sz w:val="21"/>
                <w:szCs w:val="21"/>
                <w:highlight w:val="none"/>
                <w:lang w:eastAsia="zh-CN"/>
              </w:rPr>
            </w:pPr>
            <w:r>
              <w:rPr>
                <w:rFonts w:hint="default" w:ascii="Times New Roman" w:hAnsi="Times New Roman" w:eastAsia="宋体" w:cs="Times New Roman"/>
                <w:sz w:val="21"/>
                <w:szCs w:val="21"/>
                <w:highlight w:val="none"/>
                <w:lang w:val="en-US" w:eastAsia="zh-CN"/>
              </w:rPr>
              <w:t>废包装材料</w:t>
            </w:r>
          </w:p>
        </w:tc>
        <w:tc>
          <w:tcPr>
            <w:tcW w:w="1701" w:type="dxa"/>
            <w:noWrap w:val="0"/>
            <w:vAlign w:val="center"/>
          </w:tcPr>
          <w:p w14:paraId="6592390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14161C0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593145E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2E4245FE">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c>
          <w:tcPr>
            <w:tcW w:w="1761" w:type="dxa"/>
            <w:noWrap w:val="0"/>
            <w:vAlign w:val="center"/>
          </w:tcPr>
          <w:p w14:paraId="1748C6F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1208862A">
            <w:pPr>
              <w:autoSpaceDE w:val="0"/>
              <w:autoSpaceDN w:val="0"/>
              <w:jc w:val="center"/>
              <w:rPr>
                <w:rFonts w:hint="default" w:ascii="Times New Roman" w:hAnsi="Times New Roman" w:cs="Times New Roman"/>
                <w:snapToGrid w:val="0"/>
                <w:color w:val="auto"/>
                <w:kern w:val="21"/>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c>
          <w:tcPr>
            <w:tcW w:w="1169" w:type="dxa"/>
            <w:noWrap w:val="0"/>
            <w:vAlign w:val="center"/>
          </w:tcPr>
          <w:p w14:paraId="663E6448">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r>
      <w:tr w14:paraId="470C6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vMerge w:val="continue"/>
            <w:noWrap w:val="0"/>
            <w:vAlign w:val="center"/>
          </w:tcPr>
          <w:p w14:paraId="446E9E9D">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p>
        </w:tc>
        <w:tc>
          <w:tcPr>
            <w:tcW w:w="1417" w:type="dxa"/>
            <w:noWrap w:val="0"/>
            <w:vAlign w:val="center"/>
          </w:tcPr>
          <w:p w14:paraId="2B86ACBE">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sz w:val="21"/>
                <w:szCs w:val="21"/>
                <w:highlight w:val="none"/>
                <w:lang w:val="en-US" w:eastAsia="zh-CN"/>
              </w:rPr>
              <w:t>废布袋</w:t>
            </w:r>
          </w:p>
        </w:tc>
        <w:tc>
          <w:tcPr>
            <w:tcW w:w="1701" w:type="dxa"/>
            <w:noWrap w:val="0"/>
            <w:vAlign w:val="center"/>
          </w:tcPr>
          <w:p w14:paraId="37F9660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73CA1C6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5BD8BA7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3E3FA8E8">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c>
          <w:tcPr>
            <w:tcW w:w="1761" w:type="dxa"/>
            <w:noWrap w:val="0"/>
            <w:vAlign w:val="center"/>
          </w:tcPr>
          <w:p w14:paraId="3BE6F9C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0AB7CF08">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c>
          <w:tcPr>
            <w:tcW w:w="1169" w:type="dxa"/>
            <w:noWrap w:val="0"/>
            <w:vAlign w:val="center"/>
          </w:tcPr>
          <w:p w14:paraId="7B69504A">
            <w:pPr>
              <w:autoSpaceDE w:val="0"/>
              <w:autoSpaceDN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sz w:val="21"/>
                <w:szCs w:val="21"/>
                <w:highlight w:val="none"/>
                <w:lang w:val="en-US" w:eastAsia="zh-CN"/>
              </w:rPr>
              <w:t>0.5</w:t>
            </w:r>
          </w:p>
        </w:tc>
      </w:tr>
      <w:tr w14:paraId="403AD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88" w:type="dxa"/>
            <w:noWrap w:val="0"/>
            <w:vAlign w:val="center"/>
          </w:tcPr>
          <w:p w14:paraId="3317C91D">
            <w:pPr>
              <w:pStyle w:val="31"/>
              <w:keepNext w:val="0"/>
              <w:keepLines w:val="0"/>
              <w:pageBreakBefore w:val="0"/>
              <w:widowControl w:val="0"/>
              <w:kinsoku/>
              <w:wordWrap/>
              <w:overflowPunct/>
              <w:topLinePunct w:val="0"/>
              <w:autoSpaceDE/>
              <w:autoSpaceDN/>
              <w:bidi w:val="0"/>
              <w:spacing w:beforeLines="0" w:afterLines="0" w:line="240" w:lineRule="auto"/>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危险废物</w:t>
            </w:r>
          </w:p>
        </w:tc>
        <w:tc>
          <w:tcPr>
            <w:tcW w:w="1417" w:type="dxa"/>
            <w:noWrap w:val="0"/>
            <w:vAlign w:val="center"/>
          </w:tcPr>
          <w:p w14:paraId="03C358A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10CE7C7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276" w:type="dxa"/>
            <w:noWrap w:val="0"/>
            <w:vAlign w:val="center"/>
          </w:tcPr>
          <w:p w14:paraId="19B512C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701" w:type="dxa"/>
            <w:noWrap w:val="0"/>
            <w:vAlign w:val="center"/>
          </w:tcPr>
          <w:p w14:paraId="12E82B1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559" w:type="dxa"/>
            <w:noWrap w:val="0"/>
            <w:vAlign w:val="center"/>
          </w:tcPr>
          <w:p w14:paraId="44B1A1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snapToGrid w:val="0"/>
                <w:color w:val="auto"/>
                <w:kern w:val="21"/>
                <w:sz w:val="21"/>
                <w:szCs w:val="21"/>
                <w:highlight w:val="none"/>
              </w:rPr>
              <w:t>/</w:t>
            </w:r>
          </w:p>
        </w:tc>
        <w:tc>
          <w:tcPr>
            <w:tcW w:w="1761" w:type="dxa"/>
            <w:noWrap w:val="0"/>
            <w:vAlign w:val="center"/>
          </w:tcPr>
          <w:p w14:paraId="34D3635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1616" w:type="dxa"/>
            <w:noWrap w:val="0"/>
            <w:vAlign w:val="center"/>
          </w:tcPr>
          <w:p w14:paraId="1EC8AEE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snapToGrid w:val="0"/>
                <w:color w:val="auto"/>
                <w:kern w:val="21"/>
                <w:sz w:val="21"/>
                <w:szCs w:val="21"/>
                <w:highlight w:val="none"/>
              </w:rPr>
              <w:t>/</w:t>
            </w:r>
          </w:p>
        </w:tc>
        <w:tc>
          <w:tcPr>
            <w:tcW w:w="1169" w:type="dxa"/>
            <w:noWrap w:val="0"/>
            <w:vAlign w:val="center"/>
          </w:tcPr>
          <w:p w14:paraId="5EBE1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highlight w:val="none"/>
              </w:rPr>
            </w:pPr>
          </w:p>
        </w:tc>
      </w:tr>
    </w:tbl>
    <w:p w14:paraId="58061C7B">
      <w:pPr>
        <w:pStyle w:val="31"/>
        <w:spacing w:before="192" w:beforeLines="80" w:after="24"/>
        <w:jc w:val="left"/>
        <w:rPr>
          <w:rFonts w:hint="default" w:ascii="Times New Roman" w:hAnsi="Times New Roman" w:cs="Times New Roman"/>
          <w:color w:val="auto"/>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6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1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3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4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5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7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6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kern w:val="21"/>
          <w:szCs w:val="21"/>
          <w:highlight w:val="none"/>
        </w:rPr>
        <w:fldChar w:fldCharType="end"/>
      </w:r>
      <w:r>
        <w:rPr>
          <w:rFonts w:hint="default" w:ascii="Times New Roman" w:hAnsi="Times New Roman" w:cs="Times New Roman"/>
          <w:snapToGrid w:val="0"/>
          <w:color w:val="auto"/>
          <w:kern w:val="21"/>
          <w:szCs w:val="21"/>
          <w:highlight w:val="none"/>
        </w:rPr>
        <w:t>-</w:t>
      </w:r>
      <w:r>
        <w:rPr>
          <w:rFonts w:hint="default" w:ascii="Times New Roman" w:hAnsi="Times New Roman" w:cs="Times New Roman"/>
          <w:snapToGrid w:val="0"/>
          <w:color w:val="auto"/>
          <w:kern w:val="21"/>
          <w:szCs w:val="21"/>
          <w:highlight w:val="none"/>
        </w:rPr>
        <w:fldChar w:fldCharType="begin"/>
      </w:r>
      <w:r>
        <w:rPr>
          <w:rFonts w:hint="default" w:ascii="Times New Roman" w:hAnsi="Times New Roman" w:cs="Times New Roman"/>
          <w:snapToGrid w:val="0"/>
          <w:color w:val="auto"/>
          <w:kern w:val="21"/>
          <w:szCs w:val="21"/>
          <w:highlight w:val="none"/>
        </w:rPr>
        <w:instrText xml:space="preserve"> = 1 \* GB3 \* MERGEFORMAT </w:instrText>
      </w:r>
      <w:r>
        <w:rPr>
          <w:rFonts w:hint="default" w:ascii="Times New Roman" w:hAnsi="Times New Roman" w:cs="Times New Roman"/>
          <w:snapToGrid w:val="0"/>
          <w:color w:val="auto"/>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kern w:val="21"/>
          <w:szCs w:val="21"/>
          <w:highlight w:val="none"/>
        </w:rPr>
        <w:fldChar w:fldCharType="end"/>
      </w:r>
    </w:p>
    <w:p w14:paraId="33A000D2">
      <w:pPr>
        <w:rPr>
          <w:rFonts w:hint="default" w:ascii="Times New Roman" w:hAnsi="Times New Roman" w:eastAsia="宋体" w:cs="Times New Roman"/>
          <w:color w:val="auto"/>
          <w:highlight w:val="none"/>
          <w:lang w:val="en-US" w:eastAsia="zh-CN"/>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EB14D2C">
      <w:pPr>
        <w:pStyle w:val="11"/>
        <w:ind w:firstLine="0" w:firstLineChars="0"/>
        <w:jc w:val="center"/>
        <w:rPr>
          <w:rFonts w:hint="default" w:ascii="Times New Roman" w:hAnsi="Times New Roman" w:cs="Times New Roman"/>
          <w:color w:val="auto"/>
          <w:highlight w:val="none"/>
        </w:rPr>
      </w:pPr>
    </w:p>
    <w:p w14:paraId="451F8134">
      <w:pPr>
        <w:pStyle w:val="2"/>
        <w:bidi w:val="0"/>
        <w:jc w:val="center"/>
        <w:rPr>
          <w:rFonts w:hint="default" w:ascii="Times New Roman" w:hAnsi="Times New Roman" w:cs="Times New Roman"/>
          <w:highlight w:val="none"/>
        </w:rPr>
      </w:pPr>
      <w:bookmarkStart w:id="14" w:name="_Toc16908"/>
      <w:r>
        <w:rPr>
          <w:rFonts w:hint="default" w:ascii="Times New Roman" w:hAnsi="Times New Roman" w:cs="Times New Roman"/>
          <w:color w:val="auto"/>
          <w:highlight w:val="none"/>
        </w:rPr>
        <w:drawing>
          <wp:anchor distT="0" distB="0" distL="114300" distR="114300" simplePos="0" relativeHeight="251662336" behindDoc="0" locked="0" layoutInCell="1" allowOverlap="1">
            <wp:simplePos x="0" y="0"/>
            <wp:positionH relativeFrom="column">
              <wp:posOffset>7847330</wp:posOffset>
            </wp:positionH>
            <wp:positionV relativeFrom="paragraph">
              <wp:posOffset>351790</wp:posOffset>
            </wp:positionV>
            <wp:extent cx="600075" cy="613410"/>
            <wp:effectExtent l="0" t="0" r="9525" b="15240"/>
            <wp:wrapNone/>
            <wp:docPr id="37" name="图片 2" descr="绥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绥化"/>
                    <pic:cNvPicPr>
                      <a:picLocks noChangeAspect="1"/>
                    </pic:cNvPicPr>
                  </pic:nvPicPr>
                  <pic:blipFill>
                    <a:blip r:embed="rId25"/>
                    <a:stretch>
                      <a:fillRect/>
                    </a:stretch>
                  </pic:blipFill>
                  <pic:spPr>
                    <a:xfrm>
                      <a:off x="0" y="0"/>
                      <a:ext cx="600075" cy="613410"/>
                    </a:xfrm>
                    <a:prstGeom prst="rect">
                      <a:avLst/>
                    </a:prstGeom>
                    <a:noFill/>
                    <a:ln>
                      <a:noFill/>
                    </a:ln>
                  </pic:spPr>
                </pic:pic>
              </a:graphicData>
            </a:graphic>
          </wp:anchor>
        </w:drawing>
      </w:r>
      <w:r>
        <w:rPr>
          <w:rFonts w:hint="default" w:ascii="Times New Roman" w:hAnsi="Times New Roman" w:cs="Times New Roman"/>
          <w:highlight w:val="none"/>
        </w:rPr>
        <w:t>附图1  地理位置图</w:t>
      </w:r>
      <w:bookmarkEnd w:id="14"/>
    </w:p>
    <w:p w14:paraId="25185C87">
      <w:pPr>
        <w:pStyle w:val="7"/>
        <w:rPr>
          <w:rFonts w:hint="default" w:ascii="Times New Roman" w:hAnsi="Times New Roman" w:cs="Times New Roman"/>
          <w:b w:val="0"/>
          <w:bCs/>
          <w:color w:val="auto"/>
          <w:sz w:val="21"/>
          <w:szCs w:val="21"/>
          <w:highlight w:val="none"/>
        </w:rPr>
      </w:pPr>
      <w:r>
        <w:rPr>
          <w:rFonts w:hint="default" w:ascii="Times New Roman" w:hAnsi="Times New Roman" w:cs="Times New Roman"/>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4157345</wp:posOffset>
                </wp:positionH>
                <wp:positionV relativeFrom="paragraph">
                  <wp:posOffset>2033905</wp:posOffset>
                </wp:positionV>
                <wp:extent cx="779145" cy="278130"/>
                <wp:effectExtent l="4445" t="5080" r="16510" b="269240"/>
                <wp:wrapNone/>
                <wp:docPr id="38" name="圆角矩形标注 38"/>
                <wp:cNvGraphicFramePr/>
                <a:graphic xmlns:a="http://schemas.openxmlformats.org/drawingml/2006/main">
                  <a:graphicData uri="http://schemas.microsoft.com/office/word/2010/wordprocessingShape">
                    <wps:wsp>
                      <wps:cNvSpPr/>
                      <wps:spPr>
                        <a:xfrm>
                          <a:off x="0" y="0"/>
                          <a:ext cx="779145" cy="278130"/>
                        </a:xfrm>
                        <a:prstGeom prst="wedgeRoundRectCallout">
                          <a:avLst>
                            <a:gd name="adj1" fmla="val -48454"/>
                            <a:gd name="adj2" fmla="val 139269"/>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FAC8192">
                            <w:pPr>
                              <w:rPr>
                                <w:rFonts w:hint="eastAsia"/>
                              </w:rPr>
                            </w:pPr>
                            <w:r>
                              <w:rPr>
                                <w:rFonts w:hint="eastAsia"/>
                              </w:rPr>
                              <w:t>项目位置</w:t>
                            </w:r>
                          </w:p>
                        </w:txbxContent>
                      </wps:txbx>
                      <wps:bodyPr upright="1"/>
                    </wps:wsp>
                  </a:graphicData>
                </a:graphic>
              </wp:anchor>
            </w:drawing>
          </mc:Choice>
          <mc:Fallback>
            <w:pict>
              <v:shape id="_x0000_s1026" o:spid="_x0000_s1026" o:spt="62" type="#_x0000_t62" style="position:absolute;left:0pt;margin-left:327.35pt;margin-top:160.15pt;height:21.9pt;width:61.35pt;z-index:251660288;mso-width-relative:page;mso-height-relative:page;" fillcolor="#FFFFFF" filled="t" stroked="t" coordsize="21600,21600" o:gfxdata="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gs4b2AAAAAsBAAAP&#10;AAAAAAAAAAEAIAAAACIAAABkcnMvZG93bnJldi54bWxQSwECFAAUAAAACACHTuJAta9/tVECAAC+&#10;BAAADgAAAAAAAAABACAAAAAnAQAAZHJzL2Uyb0RvYy54bWxQSwUGAAAAAAYABgBZAQAA6gUAAAAA&#10;" adj="334,40882,14400">
                <v:fill on="t" focussize="0,0"/>
                <v:stroke color="#000000" joinstyle="miter"/>
                <v:imagedata o:title=""/>
                <o:lock v:ext="edit" aspectratio="f"/>
                <v:textbox>
                  <w:txbxContent>
                    <w:p w14:paraId="7FAC8192">
                      <w:pPr>
                        <w:rPr>
                          <w:rFonts w:hint="eastAsia"/>
                        </w:rPr>
                      </w:pPr>
                      <w:r>
                        <w:rPr>
                          <w:rFonts w:hint="eastAsia"/>
                        </w:rPr>
                        <w:t>项目位置</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3959860</wp:posOffset>
                </wp:positionH>
                <wp:positionV relativeFrom="paragraph">
                  <wp:posOffset>2520950</wp:posOffset>
                </wp:positionV>
                <wp:extent cx="265430" cy="226060"/>
                <wp:effectExtent l="15875" t="13970" r="23495" b="26670"/>
                <wp:wrapNone/>
                <wp:docPr id="39" name="五角星 39"/>
                <wp:cNvGraphicFramePr/>
                <a:graphic xmlns:a="http://schemas.openxmlformats.org/drawingml/2006/main">
                  <a:graphicData uri="http://schemas.microsoft.com/office/word/2010/wordprocessingShape">
                    <wps:wsp>
                      <wps:cNvSpPr/>
                      <wps:spPr>
                        <a:xfrm>
                          <a:off x="0" y="0"/>
                          <a:ext cx="265430" cy="226060"/>
                        </a:xfrm>
                        <a:prstGeom prst="star5">
                          <a:avLst/>
                        </a:prstGeom>
                        <a:solidFill>
                          <a:srgbClr val="FF0000"/>
                        </a:solidFill>
                        <a:ln w="9525" cap="flat" cmpd="sng">
                          <a:solidFill>
                            <a:srgbClr val="FF0000"/>
                          </a:solidFill>
                          <a:prstDash val="solid"/>
                          <a:miter/>
                          <a:headEnd type="none" w="med" len="med"/>
                          <a:tailEnd type="none" w="med" len="med"/>
                        </a:ln>
                      </wps:spPr>
                      <wps:txbx>
                        <w:txbxContent>
                          <w:p w14:paraId="0C76A305"/>
                        </w:txbxContent>
                      </wps:txbx>
                      <wps:bodyPr upright="1"/>
                    </wps:wsp>
                  </a:graphicData>
                </a:graphic>
              </wp:anchor>
            </w:drawing>
          </mc:Choice>
          <mc:Fallback>
            <w:pict>
              <v:shape id="_x0000_s1026" o:spid="_x0000_s1026" style="position:absolute;left:0pt;margin-left:311.8pt;margin-top:198.5pt;height:17.8pt;width:20.9pt;z-index:251661312;mso-width-relative:page;mso-height-relative:page;" fillcolor="#FF0000" filled="t" stroked="t" coordsize="265430,226060" o:gfxdata="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sddj2QAAAAsBAAAPAAAAAAAAAAEAIAAAACIA&#10;AABkcnMvZG93bnJldi54bWxQSwECFAAUAAAACACHTuJAbSKmiwgCAAAuBAAADgAAAAAAAAABACAA&#10;AAAoAQAAZHJzL2Uyb0RvYy54bWxQSwUGAAAAAAYABgBZAQAAogUAAAAA&#10;" path="m0,86347l101385,86347,132715,0,164044,86347,265429,86347,183406,139712,214737,226059,132715,172693,50692,226059,82023,139712xe">
                <v:path textboxrect="0,0,265430,226060" o:connectlocs="132715,0;0,86347;50692,226059;214737,226059;265429,86347" o:connectangles="247,164,82,82,0"/>
                <v:fill on="t" focussize="0,0"/>
                <v:stroke color="#FF0000" joinstyle="miter"/>
                <v:imagedata o:title=""/>
                <o:lock v:ext="edit" aspectratio="f"/>
                <v:textbox>
                  <w:txbxContent>
                    <w:p w14:paraId="0C76A305"/>
                  </w:txbxContent>
                </v:textbox>
              </v:shape>
            </w:pict>
          </mc:Fallback>
        </mc:AlternateContent>
      </w:r>
      <w:r>
        <w:rPr>
          <w:rFonts w:hint="default" w:ascii="Times New Roman" w:hAnsi="Times New Roman" w:cs="Times New Roman"/>
          <w:highlight w:val="none"/>
        </w:rPr>
        <w:drawing>
          <wp:inline distT="0" distB="0" distL="114300" distR="114300">
            <wp:extent cx="8733155" cy="4544060"/>
            <wp:effectExtent l="0" t="0" r="10795" b="889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6"/>
                    <a:stretch>
                      <a:fillRect/>
                    </a:stretch>
                  </pic:blipFill>
                  <pic:spPr>
                    <a:xfrm>
                      <a:off x="0" y="0"/>
                      <a:ext cx="8733155" cy="4544060"/>
                    </a:xfrm>
                    <a:prstGeom prst="rect">
                      <a:avLst/>
                    </a:prstGeom>
                    <a:noFill/>
                    <a:ln>
                      <a:noFill/>
                    </a:ln>
                  </pic:spPr>
                </pic:pic>
              </a:graphicData>
            </a:graphic>
          </wp:inline>
        </w:drawing>
      </w:r>
    </w:p>
    <w:p w14:paraId="1B8507EB">
      <w:pPr>
        <w:rPr>
          <w:rFonts w:hint="default" w:ascii="Times New Roman" w:hAnsi="Times New Roman" w:cs="Times New Roman"/>
          <w:highlight w:val="none"/>
        </w:rPr>
      </w:pPr>
    </w:p>
    <w:p w14:paraId="50E78A50">
      <w:pPr>
        <w:rPr>
          <w:rFonts w:hint="default" w:ascii="Times New Roman" w:hAnsi="Times New Roman" w:cs="Times New Roman"/>
          <w:highlight w:val="none"/>
        </w:rPr>
        <w:sectPr>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E8F4895">
      <w:pPr>
        <w:pStyle w:val="2"/>
        <w:bidi w:val="0"/>
        <w:jc w:val="center"/>
        <w:rPr>
          <w:rFonts w:hint="default" w:ascii="Times New Roman" w:hAnsi="Times New Roman" w:cs="Times New Roman"/>
          <w:highlight w:val="none"/>
        </w:rPr>
      </w:pPr>
      <w:bookmarkStart w:id="15" w:name="_Toc3380"/>
      <w:r>
        <w:rPr>
          <w:rFonts w:hint="default" w:ascii="Times New Roman" w:hAnsi="Times New Roman" w:cs="Times New Roman"/>
          <w:highlight w:val="none"/>
        </w:rPr>
        <w:t xml:space="preserve">附图2  </w:t>
      </w:r>
      <w:r>
        <w:rPr>
          <w:rFonts w:hint="default" w:ascii="Times New Roman" w:hAnsi="Times New Roman" w:cs="Times New Roman"/>
          <w:highlight w:val="none"/>
          <w:lang w:val="en-US" w:eastAsia="zh-CN"/>
        </w:rPr>
        <w:t>厂区</w:t>
      </w:r>
      <w:r>
        <w:rPr>
          <w:rFonts w:hint="default" w:ascii="Times New Roman" w:hAnsi="Times New Roman" w:cs="Times New Roman"/>
          <w:highlight w:val="none"/>
          <w:lang w:val="en-US" w:eastAsia="zh-CN"/>
        </w:rPr>
        <w:t>总</w:t>
      </w:r>
      <w:r>
        <w:rPr>
          <w:rFonts w:hint="default" w:ascii="Times New Roman" w:hAnsi="Times New Roman" w:cs="Times New Roman"/>
          <w:highlight w:val="none"/>
        </w:rPr>
        <w:t>平面布置图</w:t>
      </w:r>
      <w:bookmarkEnd w:id="15"/>
    </w:p>
    <w:p w14:paraId="737BB501">
      <w:pPr>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30" o:spt="75" type="#_x0000_t75" style="height:400pt;width:598.8pt;" o:ole="t" filled="f" o:preferrelative="t" stroked="f" coordsize="21600,21600">
            <v:path/>
            <v:fill on="f" focussize="0,0"/>
            <v:stroke on="f"/>
            <v:imagedata r:id="rId28" o:title=""/>
            <o:lock v:ext="edit" aspectratio="t"/>
            <w10:wrap type="none"/>
            <w10:anchorlock/>
          </v:shape>
          <o:OLEObject Type="Embed" ProgID="Visio.Drawing.15" ShapeID="_x0000_i1030" DrawAspect="Content" ObjectID="_1468075730" r:id="rId27">
            <o:LockedField>false</o:LockedField>
          </o:OLEObject>
        </w:object>
      </w:r>
    </w:p>
    <w:p w14:paraId="626A8E60">
      <w:pPr>
        <w:jc w:val="center"/>
        <w:rPr>
          <w:rFonts w:hint="default" w:ascii="Times New Roman" w:hAnsi="Times New Roman" w:cs="Times New Roman"/>
          <w:color w:val="auto"/>
          <w:highlight w:val="none"/>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4D0F1CDB">
      <w:pPr>
        <w:pStyle w:val="2"/>
        <w:bidi w:val="0"/>
        <w:jc w:val="center"/>
        <w:rPr>
          <w:rFonts w:hint="default" w:ascii="Times New Roman" w:hAnsi="Times New Roman" w:cs="Times New Roman"/>
          <w:highlight w:val="none"/>
        </w:rPr>
      </w:pPr>
      <w:bookmarkStart w:id="16" w:name="_Toc26510"/>
      <w:r>
        <w:rPr>
          <w:rFonts w:hint="default" w:ascii="Times New Roman" w:hAnsi="Times New Roman" w:cs="Times New Roman"/>
          <w:highlight w:val="none"/>
        </w:rPr>
        <w:t>附图</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环境保护目标</w:t>
      </w:r>
      <w:r>
        <w:rPr>
          <w:rFonts w:hint="default" w:ascii="Times New Roman" w:hAnsi="Times New Roman" w:cs="Times New Roman"/>
          <w:highlight w:val="none"/>
        </w:rPr>
        <w:t>图</w:t>
      </w:r>
      <w:bookmarkEnd w:id="16"/>
    </w:p>
    <w:p w14:paraId="39093470">
      <w:pPr>
        <w:pStyle w:val="8"/>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highlight w:val="none"/>
        </w:rPr>
        <w:drawing>
          <wp:anchor distT="0" distB="0" distL="114300" distR="114300" simplePos="0" relativeHeight="251659264" behindDoc="1" locked="0" layoutInCell="1" allowOverlap="1">
            <wp:simplePos x="0" y="0"/>
            <wp:positionH relativeFrom="column">
              <wp:posOffset>635</wp:posOffset>
            </wp:positionH>
            <wp:positionV relativeFrom="paragraph">
              <wp:posOffset>0</wp:posOffset>
            </wp:positionV>
            <wp:extent cx="8530590" cy="4438650"/>
            <wp:effectExtent l="0" t="0" r="3810" b="0"/>
            <wp:wrapNone/>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9"/>
                    <a:stretch>
                      <a:fillRect/>
                    </a:stretch>
                  </pic:blipFill>
                  <pic:spPr>
                    <a:xfrm>
                      <a:off x="0" y="0"/>
                      <a:ext cx="8530590" cy="4438650"/>
                    </a:xfrm>
                    <a:prstGeom prst="rect">
                      <a:avLst/>
                    </a:prstGeom>
                    <a:noFill/>
                    <a:ln>
                      <a:noFill/>
                    </a:ln>
                  </pic:spPr>
                </pic:pic>
              </a:graphicData>
            </a:graphic>
          </wp:anchor>
        </w:drawing>
      </w:r>
      <w:r>
        <w:rPr>
          <w:rFonts w:hint="default" w:ascii="Times New Roman" w:hAnsi="Times New Roman" w:cs="Times New Roman"/>
          <w:color w:val="auto"/>
          <w:highlight w:val="none"/>
        </w:rPr>
        <w:drawing>
          <wp:anchor distT="0" distB="0" distL="114300" distR="114300" simplePos="0" relativeHeight="251664384" behindDoc="0" locked="0" layoutInCell="1" allowOverlap="1">
            <wp:simplePos x="0" y="0"/>
            <wp:positionH relativeFrom="column">
              <wp:posOffset>7884795</wp:posOffset>
            </wp:positionH>
            <wp:positionV relativeFrom="paragraph">
              <wp:posOffset>51435</wp:posOffset>
            </wp:positionV>
            <wp:extent cx="600075" cy="613410"/>
            <wp:effectExtent l="0" t="0" r="9525" b="15240"/>
            <wp:wrapNone/>
            <wp:docPr id="43" name="图片 6" descr="绥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绥化"/>
                    <pic:cNvPicPr>
                      <a:picLocks noChangeAspect="1"/>
                    </pic:cNvPicPr>
                  </pic:nvPicPr>
                  <pic:blipFill>
                    <a:blip r:embed="rId25"/>
                    <a:stretch>
                      <a:fillRect/>
                    </a:stretch>
                  </pic:blipFill>
                  <pic:spPr>
                    <a:xfrm>
                      <a:off x="0" y="0"/>
                      <a:ext cx="600075" cy="613410"/>
                    </a:xfrm>
                    <a:prstGeom prst="rect">
                      <a:avLst/>
                    </a:prstGeom>
                    <a:noFill/>
                    <a:ln>
                      <a:noFill/>
                    </a:ln>
                  </pic:spPr>
                </pic:pic>
              </a:graphicData>
            </a:graphic>
          </wp:anchor>
        </w:drawing>
      </w:r>
    </w:p>
    <w:p w14:paraId="4BDC2F39">
      <w:pPr>
        <w:rPr>
          <w:rFonts w:hint="default" w:ascii="Times New Roman" w:hAnsi="Times New Roman" w:cs="Times New Roman"/>
          <w:color w:val="auto"/>
          <w:highlight w:val="none"/>
        </w:rPr>
      </w:pPr>
    </w:p>
    <w:p w14:paraId="27334819">
      <w:pPr>
        <w:rPr>
          <w:rFonts w:hint="default" w:ascii="Times New Roman" w:hAnsi="Times New Roman" w:cs="Times New Roman"/>
          <w:color w:val="auto"/>
          <w:highlight w:val="none"/>
        </w:rPr>
      </w:pPr>
    </w:p>
    <w:p w14:paraId="2D5E860E">
      <w:pPr>
        <w:rPr>
          <w:rFonts w:hint="default" w:ascii="Times New Roman" w:hAnsi="Times New Roman" w:cs="Times New Roman"/>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z w:val="21"/>
          <w:highlight w:val="none"/>
        </w:rPr>
        <mc:AlternateContent>
          <mc:Choice Requires="wps">
            <w:drawing>
              <wp:anchor distT="0" distB="0" distL="114300" distR="114300" simplePos="0" relativeHeight="251670528" behindDoc="0" locked="0" layoutInCell="1" allowOverlap="1">
                <wp:simplePos x="0" y="0"/>
                <wp:positionH relativeFrom="column">
                  <wp:posOffset>3672840</wp:posOffset>
                </wp:positionH>
                <wp:positionV relativeFrom="paragraph">
                  <wp:posOffset>1280160</wp:posOffset>
                </wp:positionV>
                <wp:extent cx="1560195" cy="784860"/>
                <wp:effectExtent l="0" t="0" r="1905" b="15240"/>
                <wp:wrapNone/>
                <wp:docPr id="44" name="任意多边形 44"/>
                <wp:cNvGraphicFramePr/>
                <a:graphic xmlns:a="http://schemas.openxmlformats.org/drawingml/2006/main">
                  <a:graphicData uri="http://schemas.microsoft.com/office/word/2010/wordprocessingShape">
                    <wps:wsp>
                      <wps:cNvSpPr/>
                      <wps:spPr>
                        <a:xfrm>
                          <a:off x="0" y="0"/>
                          <a:ext cx="1560195" cy="784860"/>
                        </a:xfrm>
                        <a:custGeom>
                          <a:avLst/>
                          <a:gdLst/>
                          <a:ahLst/>
                          <a:cxnLst/>
                          <a:pathLst>
                            <a:path w="2457" h="1236">
                              <a:moveTo>
                                <a:pt x="0" y="517"/>
                              </a:moveTo>
                              <a:lnTo>
                                <a:pt x="41" y="729"/>
                              </a:lnTo>
                              <a:lnTo>
                                <a:pt x="404" y="657"/>
                              </a:lnTo>
                              <a:lnTo>
                                <a:pt x="543" y="1236"/>
                              </a:lnTo>
                              <a:lnTo>
                                <a:pt x="2317" y="992"/>
                              </a:lnTo>
                              <a:lnTo>
                                <a:pt x="2266" y="554"/>
                              </a:lnTo>
                              <a:lnTo>
                                <a:pt x="2457" y="512"/>
                              </a:lnTo>
                              <a:lnTo>
                                <a:pt x="2385" y="0"/>
                              </a:lnTo>
                              <a:lnTo>
                                <a:pt x="0" y="517"/>
                              </a:lnTo>
                              <a:close/>
                            </a:path>
                          </a:pathLst>
                        </a:custGeom>
                        <a:solidFill>
                          <a:srgbClr val="FFFF00">
                            <a:alpha val="20000"/>
                          </a:srgbClr>
                        </a:solidFill>
                        <a:ln>
                          <a:noFill/>
                        </a:ln>
                      </wps:spPr>
                      <wps:bodyPr upright="1"/>
                    </wps:wsp>
                  </a:graphicData>
                </a:graphic>
              </wp:anchor>
            </w:drawing>
          </mc:Choice>
          <mc:Fallback>
            <w:pict>
              <v:shape id="_x0000_s1026" o:spid="_x0000_s1026" o:spt="100" style="position:absolute;left:0pt;margin-left:289.2pt;margin-top:100.8pt;height:61.8pt;width:122.85pt;z-index:251670528;mso-width-relative:page;mso-height-relative:page;" fillcolor="#FFFF00" filled="t" stroked="f" coordsize="2457,1236" o:gfxdata="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Hjx292gAAAAsBAAAPAAAAAAAAAAEAIAAAACIAAABkcnMvZG93bnJldi54bWxQSwEC&#10;FAAUAAAACACHTuJAskgTt2QCAABMBQAADgAAAAAAAAABACAAAAApAQAAZHJzL2Uyb0RvYy54bWxQ&#10;SwUGAAAAAAYABgBZAQAA/wUAAAAA&#10;" path="m0,517l41,729,404,657,543,1236,2317,992,2266,554,2457,512,2385,0,0,517xe">
                <v:fill on="t" opacity="13107f" focussize="0,0"/>
                <v:stroke on="f"/>
                <v:imagedata o:title=""/>
                <o:lock v:ext="edit" aspectratio="f"/>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1614805</wp:posOffset>
                </wp:positionV>
                <wp:extent cx="1714500" cy="755650"/>
                <wp:effectExtent l="0" t="0" r="0" b="6350"/>
                <wp:wrapNone/>
                <wp:docPr id="45" name="任意多边形 45"/>
                <wp:cNvGraphicFramePr/>
                <a:graphic xmlns:a="http://schemas.openxmlformats.org/drawingml/2006/main">
                  <a:graphicData uri="http://schemas.microsoft.com/office/word/2010/wordprocessingShape">
                    <wps:wsp>
                      <wps:cNvSpPr/>
                      <wps:spPr>
                        <a:xfrm>
                          <a:off x="0" y="0"/>
                          <a:ext cx="1714500" cy="755650"/>
                        </a:xfrm>
                        <a:custGeom>
                          <a:avLst/>
                          <a:gdLst/>
                          <a:ahLst/>
                          <a:cxnLst/>
                          <a:pathLst>
                            <a:path w="2700" h="1190">
                              <a:moveTo>
                                <a:pt x="2152" y="0"/>
                              </a:moveTo>
                              <a:lnTo>
                                <a:pt x="0" y="430"/>
                              </a:lnTo>
                              <a:lnTo>
                                <a:pt x="223" y="1190"/>
                              </a:lnTo>
                              <a:lnTo>
                                <a:pt x="2700" y="730"/>
                              </a:lnTo>
                              <a:lnTo>
                                <a:pt x="2597" y="315"/>
                              </a:lnTo>
                              <a:lnTo>
                                <a:pt x="2235" y="394"/>
                              </a:lnTo>
                              <a:lnTo>
                                <a:pt x="2152" y="0"/>
                              </a:lnTo>
                              <a:close/>
                            </a:path>
                          </a:pathLst>
                        </a:custGeom>
                        <a:solidFill>
                          <a:srgbClr val="FFFF00">
                            <a:alpha val="20000"/>
                          </a:srgbClr>
                        </a:solidFill>
                        <a:ln>
                          <a:noFill/>
                        </a:ln>
                      </wps:spPr>
                      <wps:bodyPr upright="1"/>
                    </wps:wsp>
                  </a:graphicData>
                </a:graphic>
              </wp:anchor>
            </w:drawing>
          </mc:Choice>
          <mc:Fallback>
            <w:pict>
              <v:shape id="_x0000_s1026" o:spid="_x0000_s1026" o:spt="100" style="position:absolute;left:0pt;margin-left:181.6pt;margin-top:127.15pt;height:59.5pt;width:135pt;z-index:251669504;mso-width-relative:page;mso-height-relative:page;" fillcolor="#FFFF00" filled="t" stroked="f" coordsize="2700,1190" o:gfxdata="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H5YVvYAAAACwEAAA8AAAAAAAAAAQAg&#10;AAAAIgAAAGRycy9kb3ducmV2LnhtbFBLAQIUABQAAAAIAIdO4kBG2nQyRwIAAP4EAAAOAAAAAAAA&#10;AAEAIAAAACcBAABkcnMvZTJvRG9jLnhtbFBLBQYAAAAABgAGAFkBAADgBQAAAAA=&#10;" path="m2152,0l0,430,223,1190,2700,730,2597,315,2235,394,2152,0xe">
                <v:fill on="t" opacity="13107f" focussize="0,0"/>
                <v:stroke on="f"/>
                <v:imagedata o:title=""/>
                <o:lock v:ext="edit" aspectratio="f"/>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8480" behindDoc="0" locked="0" layoutInCell="1" allowOverlap="1">
                <wp:simplePos x="0" y="0"/>
                <wp:positionH relativeFrom="column">
                  <wp:posOffset>1932940</wp:posOffset>
                </wp:positionH>
                <wp:positionV relativeFrom="paragraph">
                  <wp:posOffset>302895</wp:posOffset>
                </wp:positionV>
                <wp:extent cx="3566795" cy="3036570"/>
                <wp:effectExtent l="301625" t="367665" r="303530" b="386715"/>
                <wp:wrapNone/>
                <wp:docPr id="46" name="矩形 46"/>
                <wp:cNvGraphicFramePr/>
                <a:graphic xmlns:a="http://schemas.openxmlformats.org/drawingml/2006/main">
                  <a:graphicData uri="http://schemas.microsoft.com/office/word/2010/wordprocessingShape">
                    <wps:wsp>
                      <wps:cNvSpPr/>
                      <wps:spPr>
                        <a:xfrm rot="-780000">
                          <a:off x="0" y="0"/>
                          <a:ext cx="3566795" cy="3036570"/>
                        </a:xfrm>
                        <a:prstGeom prst="rect">
                          <a:avLst/>
                        </a:prstGeom>
                        <a:noFill/>
                        <a:ln w="9525" cap="flat" cmpd="sng">
                          <a:solidFill>
                            <a:srgbClr val="00B05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52.2pt;margin-top:23.85pt;height:239.1pt;width:280.85pt;rotation:-851968f;z-index:251668480;mso-width-relative:page;mso-height-relative:page;" filled="f" stroked="t" coordsize="21600,21600" o:gfxdata="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FnhD3AAAAAoBAAAPAAAAAAAAAAEAIAAAACIA&#10;AABkcnMvZG93bnJldi54bWxQSwECFAAUAAAACACHTuJAKNgtXwUCAAAGBAAADgAAAAAAAAABACAA&#10;AAArAQAAZHJzL2Uyb0RvYy54bWxQSwUGAAAAAAYABgBZAQAAogUAAAAA&#10;">
                <v:fill on="f" focussize="0,0"/>
                <v:stroke color="#00B050" joinstyle="miter"/>
                <v:imagedata o:title=""/>
                <o:lock v:ext="edit" aspectratio="f"/>
              </v:rect>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7456" behindDoc="0" locked="0" layoutInCell="1" allowOverlap="1">
                <wp:simplePos x="0" y="0"/>
                <wp:positionH relativeFrom="column">
                  <wp:posOffset>3590290</wp:posOffset>
                </wp:positionH>
                <wp:positionV relativeFrom="paragraph">
                  <wp:posOffset>1583055</wp:posOffset>
                </wp:positionV>
                <wp:extent cx="472440" cy="398145"/>
                <wp:effectExtent l="44450" t="53975" r="54610" b="62230"/>
                <wp:wrapNone/>
                <wp:docPr id="1" name="矩形 1"/>
                <wp:cNvGraphicFramePr/>
                <a:graphic xmlns:a="http://schemas.openxmlformats.org/drawingml/2006/main">
                  <a:graphicData uri="http://schemas.microsoft.com/office/word/2010/wordprocessingShape">
                    <wps:wsp>
                      <wps:cNvSpPr/>
                      <wps:spPr>
                        <a:xfrm rot="-780000">
                          <a:off x="0" y="0"/>
                          <a:ext cx="472440" cy="398145"/>
                        </a:xfrm>
                        <a:prstGeom prst="rect">
                          <a:avLst/>
                        </a:prstGeom>
                        <a:noFill/>
                        <a:ln w="9525" cap="flat" cmpd="sng">
                          <a:solidFill>
                            <a:srgbClr val="00B0F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82.7pt;margin-top:124.65pt;height:31.35pt;width:37.2pt;rotation:-851968f;z-index:251667456;mso-width-relative:page;mso-height-relative:page;" filled="f" stroked="t" coordsize="21600,21600" o:gfxdata="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nYlRe1gAAAAsBAAAPAAAAAAAAAAEAIAAAACIAAABkcnMvZG93&#10;bnJldi54bWxQSwECFAAUAAAACACHTuJAN9RxpQICAAACBAAADgAAAAAAAAABACAAAAAlAQAAZHJz&#10;L2Uyb0RvYy54bWxQSwUGAAAAAAYABgBZAQAAmQUAAAAA&#10;">
                <v:fill on="f" focussize="0,0"/>
                <v:stroke color="#00B0F0" joinstyle="miter"/>
                <v:imagedata o:title=""/>
                <o:lock v:ext="edit" aspectratio="f"/>
              </v:rect>
            </w:pict>
          </mc:Fallback>
        </mc:AlternateContent>
      </w:r>
      <w:r>
        <w:rPr>
          <w:rFonts w:hint="default" w:ascii="Times New Roman" w:hAnsi="Times New Roman" w:cs="Times New Roman"/>
          <w:sz w:val="20"/>
          <w:highlight w:val="none"/>
        </w:rPr>
        <mc:AlternateContent>
          <mc:Choice Requires="wps">
            <w:drawing>
              <wp:anchor distT="0" distB="0" distL="114300" distR="114300" simplePos="0" relativeHeight="251666432" behindDoc="0" locked="0" layoutInCell="1" allowOverlap="1">
                <wp:simplePos x="0" y="0"/>
                <wp:positionH relativeFrom="column">
                  <wp:posOffset>7209790</wp:posOffset>
                </wp:positionH>
                <wp:positionV relativeFrom="paragraph">
                  <wp:posOffset>4107180</wp:posOffset>
                </wp:positionV>
                <wp:extent cx="133350" cy="76200"/>
                <wp:effectExtent l="5080" t="4445" r="13970" b="14605"/>
                <wp:wrapNone/>
                <wp:docPr id="2" name="矩形 2"/>
                <wp:cNvGraphicFramePr/>
                <a:graphic xmlns:a="http://schemas.openxmlformats.org/drawingml/2006/main">
                  <a:graphicData uri="http://schemas.microsoft.com/office/word/2010/wordprocessingShape">
                    <wps:wsp>
                      <wps:cNvSpPr/>
                      <wps:spPr>
                        <a:xfrm>
                          <a:off x="0" y="0"/>
                          <a:ext cx="133350" cy="76200"/>
                        </a:xfrm>
                        <a:prstGeom prst="rect">
                          <a:avLst/>
                        </a:prstGeom>
                        <a:solidFill>
                          <a:srgbClr val="FFFF00"/>
                        </a:solidFill>
                        <a:ln w="9525" cap="flat" cmpd="sng">
                          <a:solidFill>
                            <a:srgbClr val="FFFF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567.7pt;margin-top:323.4pt;height:6pt;width:10.5pt;z-index:251666432;mso-width-relative:page;mso-height-relative:page;" fillcolor="#FFFF00" filled="t" stroked="t" coordsize="21600,21600" o:gfxdata="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0gmI2QAAAA0BAAAPAAAAAAAAAAEAIAAAACIAAABkcnMvZG93bnJldi54bWxQSwEC&#10;FAAUAAAACACHTuJAGIQL2vMBAAAcBAAADgAAAAAAAAABACAAAAAoAQAAZHJzL2Uyb0RvYy54bWxQ&#10;SwUGAAAAAAYABgBZAQAAjQUAAAAA&#10;">
                <v:fill on="t" focussize="0,0"/>
                <v:stroke color="#FFFF00" joinstyle="miter"/>
                <v:imagedata o:title=""/>
                <o:lock v:ext="edit" aspectratio="f"/>
              </v:rect>
            </w:pict>
          </mc:Fallback>
        </mc:AlternateContent>
      </w:r>
      <w:r>
        <w:rPr>
          <w:rFonts w:hint="default" w:ascii="Times New Roman" w:hAnsi="Times New Roman" w:cs="Times New Roman"/>
          <w:color w:val="auto"/>
          <w:sz w:val="20"/>
          <w:highlight w:val="none"/>
        </w:rPr>
        <mc:AlternateContent>
          <mc:Choice Requires="wps">
            <w:drawing>
              <wp:anchor distT="0" distB="0" distL="114300" distR="114300" simplePos="0" relativeHeight="251663360" behindDoc="0" locked="0" layoutInCell="1" allowOverlap="1">
                <wp:simplePos x="0" y="0"/>
                <wp:positionH relativeFrom="column">
                  <wp:posOffset>7112000</wp:posOffset>
                </wp:positionH>
                <wp:positionV relativeFrom="paragraph">
                  <wp:posOffset>3314065</wp:posOffset>
                </wp:positionV>
                <wp:extent cx="1398905" cy="1021715"/>
                <wp:effectExtent l="5080" t="4445" r="5715" b="21590"/>
                <wp:wrapNone/>
                <wp:docPr id="3" name="文本框 3"/>
                <wp:cNvGraphicFramePr/>
                <a:graphic xmlns:a="http://schemas.openxmlformats.org/drawingml/2006/main">
                  <a:graphicData uri="http://schemas.microsoft.com/office/word/2010/wordprocessingShape">
                    <wps:wsp>
                      <wps:cNvSpPr txBox="1"/>
                      <wps:spPr>
                        <a:xfrm>
                          <a:off x="0" y="0"/>
                          <a:ext cx="1398905" cy="1021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EDAF33">
                            <w:pPr>
                              <w:jc w:val="center"/>
                              <w:rPr>
                                <w:rFonts w:hint="eastAsia"/>
                                <w:lang w:eastAsia="zh-CN"/>
                              </w:rPr>
                            </w:pPr>
                            <w:r>
                              <w:rPr>
                                <w:rFonts w:hint="eastAsia"/>
                                <w:lang w:eastAsia="zh-CN"/>
                              </w:rPr>
                              <w:t>图例</w:t>
                            </w:r>
                          </w:p>
                          <w:p w14:paraId="1ABB0383">
                            <w:pPr>
                              <w:rPr>
                                <w:rFonts w:hint="eastAsia"/>
                                <w:lang w:eastAsia="zh-CN"/>
                              </w:rPr>
                            </w:pPr>
                            <w:r>
                              <w:rPr>
                                <w:rFonts w:hint="eastAsia"/>
                                <w:b/>
                                <w:bCs/>
                                <w:color w:val="FF0000"/>
                                <w:lang w:eastAsia="zh-CN"/>
                              </w:rPr>
                              <w:t>□</w:t>
                            </w:r>
                            <w:r>
                              <w:rPr>
                                <w:rFonts w:hint="eastAsia"/>
                                <w:lang w:eastAsia="zh-CN"/>
                              </w:rPr>
                              <w:t>项目位置</w:t>
                            </w:r>
                          </w:p>
                          <w:p w14:paraId="489B76D6">
                            <w:pPr>
                              <w:rPr>
                                <w:rFonts w:hint="eastAsia"/>
                                <w:lang w:eastAsia="zh-CN"/>
                              </w:rPr>
                            </w:pPr>
                            <w:r>
                              <w:rPr>
                                <w:rFonts w:hint="eastAsia"/>
                                <w:b/>
                                <w:bCs/>
                                <w:color w:val="0000FF"/>
                                <w:lang w:eastAsia="zh-CN"/>
                              </w:rPr>
                              <w:t>□</w:t>
                            </w:r>
                            <w:r>
                              <w:rPr>
                                <w:rFonts w:hint="eastAsia"/>
                                <w:lang w:eastAsia="zh-CN"/>
                              </w:rPr>
                              <w:t>声环境保护目标</w:t>
                            </w:r>
                          </w:p>
                          <w:p w14:paraId="3965FF58">
                            <w:pPr>
                              <w:rPr>
                                <w:rFonts w:hint="eastAsia"/>
                                <w:lang w:eastAsia="zh-CN"/>
                              </w:rPr>
                            </w:pPr>
                            <w:r>
                              <w:rPr>
                                <w:rFonts w:hint="eastAsia"/>
                                <w:b/>
                                <w:bCs/>
                                <w:color w:val="00B050"/>
                                <w:lang w:eastAsia="zh-CN"/>
                              </w:rPr>
                              <w:sym w:font="Wingdings 2" w:char="00A3"/>
                            </w:r>
                            <w:r>
                              <w:rPr>
                                <w:rFonts w:hint="eastAsia"/>
                                <w:lang w:eastAsia="zh-CN"/>
                              </w:rPr>
                              <w:t>大气环境保护目标</w:t>
                            </w:r>
                          </w:p>
                          <w:p w14:paraId="00997BC2">
                            <w:pPr>
                              <w:rPr>
                                <w:rFonts w:hint="default"/>
                                <w:lang w:val="en-US" w:eastAsia="zh-CN"/>
                              </w:rPr>
                            </w:pPr>
                            <w:r>
                              <w:rPr>
                                <w:rFonts w:hint="eastAsia"/>
                                <w:lang w:val="en-US" w:eastAsia="zh-CN"/>
                              </w:rPr>
                              <w:t xml:space="preserve">  环境保护目标</w:t>
                            </w:r>
                          </w:p>
                        </w:txbxContent>
                      </wps:txbx>
                      <wps:bodyPr upright="1"/>
                    </wps:wsp>
                  </a:graphicData>
                </a:graphic>
              </wp:anchor>
            </w:drawing>
          </mc:Choice>
          <mc:Fallback>
            <w:pict>
              <v:shape id="_x0000_s1026" o:spid="_x0000_s1026" o:spt="202" type="#_x0000_t202" style="position:absolute;left:0pt;margin-left:560pt;margin-top:260.95pt;height:80.45pt;width:110.15pt;z-index:251663360;mso-width-relative:page;mso-height-relative:page;" fillcolor="#FFFFFF" filled="t" stroked="t" coordsize="21600,21600" o:gfxdata="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ot/SNoAAAANAQAADwAAAAAAAAABACAA&#10;AAAiAAAAZHJzL2Rvd25yZXYueG1sUEsBAhQAFAAAAAgAh07iQMvpWzkLAgAANwQAAA4AAAAAAAAA&#10;AQAgAAAAKQEAAGRycy9lMm9Eb2MueG1sUEsFBgAAAAAGAAYAWQEAAKYFAAAAAA==&#10;">
                <v:fill on="t" focussize="0,0"/>
                <v:stroke color="#000000" joinstyle="miter"/>
                <v:imagedata o:title=""/>
                <o:lock v:ext="edit" aspectratio="f"/>
                <v:textbox>
                  <w:txbxContent>
                    <w:p w14:paraId="25EDAF33">
                      <w:pPr>
                        <w:jc w:val="center"/>
                        <w:rPr>
                          <w:rFonts w:hint="eastAsia"/>
                          <w:lang w:eastAsia="zh-CN"/>
                        </w:rPr>
                      </w:pPr>
                      <w:r>
                        <w:rPr>
                          <w:rFonts w:hint="eastAsia"/>
                          <w:lang w:eastAsia="zh-CN"/>
                        </w:rPr>
                        <w:t>图例</w:t>
                      </w:r>
                    </w:p>
                    <w:p w14:paraId="1ABB0383">
                      <w:pPr>
                        <w:rPr>
                          <w:rFonts w:hint="eastAsia"/>
                          <w:lang w:eastAsia="zh-CN"/>
                        </w:rPr>
                      </w:pPr>
                      <w:r>
                        <w:rPr>
                          <w:rFonts w:hint="eastAsia"/>
                          <w:b/>
                          <w:bCs/>
                          <w:color w:val="FF0000"/>
                          <w:lang w:eastAsia="zh-CN"/>
                        </w:rPr>
                        <w:t>□</w:t>
                      </w:r>
                      <w:r>
                        <w:rPr>
                          <w:rFonts w:hint="eastAsia"/>
                          <w:lang w:eastAsia="zh-CN"/>
                        </w:rPr>
                        <w:t>项目位置</w:t>
                      </w:r>
                    </w:p>
                    <w:p w14:paraId="489B76D6">
                      <w:pPr>
                        <w:rPr>
                          <w:rFonts w:hint="eastAsia"/>
                          <w:lang w:eastAsia="zh-CN"/>
                        </w:rPr>
                      </w:pPr>
                      <w:r>
                        <w:rPr>
                          <w:rFonts w:hint="eastAsia"/>
                          <w:b/>
                          <w:bCs/>
                          <w:color w:val="0000FF"/>
                          <w:lang w:eastAsia="zh-CN"/>
                        </w:rPr>
                        <w:t>□</w:t>
                      </w:r>
                      <w:r>
                        <w:rPr>
                          <w:rFonts w:hint="eastAsia"/>
                          <w:lang w:eastAsia="zh-CN"/>
                        </w:rPr>
                        <w:t>声环境保护目标</w:t>
                      </w:r>
                    </w:p>
                    <w:p w14:paraId="3965FF58">
                      <w:pPr>
                        <w:rPr>
                          <w:rFonts w:hint="eastAsia"/>
                          <w:lang w:eastAsia="zh-CN"/>
                        </w:rPr>
                      </w:pPr>
                      <w:r>
                        <w:rPr>
                          <w:rFonts w:hint="eastAsia"/>
                          <w:b/>
                          <w:bCs/>
                          <w:color w:val="00B050"/>
                          <w:lang w:eastAsia="zh-CN"/>
                        </w:rPr>
                        <w:sym w:font="Wingdings 2" w:char="00A3"/>
                      </w:r>
                      <w:r>
                        <w:rPr>
                          <w:rFonts w:hint="eastAsia"/>
                          <w:lang w:eastAsia="zh-CN"/>
                        </w:rPr>
                        <w:t>大气环境保护目标</w:t>
                      </w:r>
                    </w:p>
                    <w:p w14:paraId="00997BC2">
                      <w:pPr>
                        <w:rPr>
                          <w:rFonts w:hint="default"/>
                          <w:lang w:val="en-US" w:eastAsia="zh-CN"/>
                        </w:rPr>
                      </w:pPr>
                      <w:r>
                        <w:rPr>
                          <w:rFonts w:hint="eastAsia"/>
                          <w:lang w:val="en-US" w:eastAsia="zh-CN"/>
                        </w:rPr>
                        <w:t xml:space="preserve">  环境保护目标</w:t>
                      </w:r>
                    </w:p>
                  </w:txbxContent>
                </v:textbox>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65408" behindDoc="0" locked="0" layoutInCell="1" allowOverlap="1">
                <wp:simplePos x="0" y="0"/>
                <wp:positionH relativeFrom="column">
                  <wp:posOffset>3720465</wp:posOffset>
                </wp:positionH>
                <wp:positionV relativeFrom="paragraph">
                  <wp:posOffset>1721485</wp:posOffset>
                </wp:positionV>
                <wp:extent cx="222885" cy="124460"/>
                <wp:effectExtent l="17145" t="29210" r="26670" b="36830"/>
                <wp:wrapNone/>
                <wp:docPr id="4" name="矩形 4"/>
                <wp:cNvGraphicFramePr/>
                <a:graphic xmlns:a="http://schemas.openxmlformats.org/drawingml/2006/main">
                  <a:graphicData uri="http://schemas.microsoft.com/office/word/2010/wordprocessingShape">
                    <wps:wsp>
                      <wps:cNvSpPr/>
                      <wps:spPr>
                        <a:xfrm rot="-780000">
                          <a:off x="0" y="0"/>
                          <a:ext cx="222885" cy="124460"/>
                        </a:xfrm>
                        <a:prstGeom prst="rect">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2.95pt;margin-top:135.55pt;height:9.8pt;width:17.55pt;rotation:-851968f;z-index:251665408;mso-width-relative:page;mso-height-relative:page;" filled="f" stroked="t" coordsize="21600,21600" o:gfxdata="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Npru2QAAAAsBAAAPAAAAAAAAAAEAIAAAACIAAABkcnMvZG93&#10;bnJldi54bWxQSwECFAAUAAAACACHTuJAhWiDhP8BAAACBAAADgAAAAAAAAABACAAAAAoAQAAZHJz&#10;L2Uyb0RvYy54bWxQSwUGAAAAAAYABgBZAQAAmQUAAAAA&#10;">
                <v:fill on="f" focussize="0,0"/>
                <v:stroke color="#FF0000" joinstyle="miter"/>
                <v:imagedata o:title=""/>
                <o:lock v:ext="edit" aspectratio="f"/>
              </v:rect>
            </w:pict>
          </mc:Fallback>
        </mc:AlternateContent>
      </w:r>
    </w:p>
    <w:p w14:paraId="5C5393E3">
      <w:pPr>
        <w:pStyle w:val="2"/>
        <w:bidi w:val="0"/>
        <w:jc w:val="center"/>
        <w:rPr>
          <w:rFonts w:hint="default" w:ascii="Times New Roman" w:hAnsi="Times New Roman" w:cs="Times New Roman"/>
          <w:highlight w:val="none"/>
        </w:rPr>
      </w:pPr>
      <w:bookmarkStart w:id="17" w:name="_Toc15212"/>
      <w:r>
        <w:rPr>
          <w:rFonts w:hint="default" w:ascii="Times New Roman" w:hAnsi="Times New Roman" w:cs="Times New Roman"/>
          <w:highlight w:val="none"/>
        </w:rPr>
        <w:t>附图</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监测点位</w:t>
      </w:r>
      <w:r>
        <w:rPr>
          <w:rFonts w:hint="default" w:ascii="Times New Roman" w:hAnsi="Times New Roman" w:cs="Times New Roman"/>
          <w:highlight w:val="none"/>
        </w:rPr>
        <w:t>图</w:t>
      </w:r>
    </w:p>
    <w:p w14:paraId="2A96AE63">
      <w:pPr>
        <w:rPr>
          <w:rFonts w:hint="default" w:ascii="Times New Roman" w:hAnsi="Times New Roman" w:cs="Times New Roman"/>
          <w:highlight w:val="none"/>
        </w:rPr>
      </w:pPr>
      <w:r>
        <w:rPr>
          <w:rFonts w:hint="default" w:ascii="Times New Roman" w:hAnsi="Times New Roman" w:cs="Times New Roman"/>
          <w:sz w:val="21"/>
          <w:highlight w:val="none"/>
        </w:rPr>
        <mc:AlternateContent>
          <mc:Choice Requires="wps">
            <w:drawing>
              <wp:anchor distT="0" distB="0" distL="114300" distR="114300" simplePos="0" relativeHeight="251676672" behindDoc="0" locked="0" layoutInCell="1" allowOverlap="1">
                <wp:simplePos x="0" y="0"/>
                <wp:positionH relativeFrom="column">
                  <wp:posOffset>7216775</wp:posOffset>
                </wp:positionH>
                <wp:positionV relativeFrom="paragraph">
                  <wp:posOffset>4213225</wp:posOffset>
                </wp:positionV>
                <wp:extent cx="118745" cy="118745"/>
                <wp:effectExtent l="6350" t="6350" r="8255" b="8255"/>
                <wp:wrapNone/>
                <wp:docPr id="57" name="椭圆 57"/>
                <wp:cNvGraphicFramePr/>
                <a:graphic xmlns:a="http://schemas.openxmlformats.org/drawingml/2006/main">
                  <a:graphicData uri="http://schemas.microsoft.com/office/word/2010/wordprocessingShape">
                    <wps:wsp>
                      <wps:cNvSpPr/>
                      <wps:spPr>
                        <a:xfrm>
                          <a:off x="0" y="0"/>
                          <a:ext cx="118745" cy="11874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68.25pt;margin-top:331.75pt;height:9.35pt;width:9.35pt;z-index:251676672;v-text-anchor:middle;mso-width-relative:page;mso-height-relative:page;" fillcolor="#FF0000" filled="t" stroked="t" coordsize="21600,21600" o:gfxdata="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1eNbtcAAAANAQAADwAAAAAAAAABACAAAAAiAAAAZHJzL2Rvd25yZXYueG1s&#10;UEsBAhQAFAAAAAgAh07iQNEneW5rAgAA+AQAAA4AAAAAAAAAAQAgAAAAJgEAAGRycy9lMm9Eb2Mu&#10;eG1sUEsFBgAAAAAGAAYAWQEAAAMGAAAAAA==&#10;">
                <v:fill on="t" focussize="0,0"/>
                <v:stroke weight="1pt" color="#FF0000 [2404]" miterlimit="8" joinstyle="miter"/>
                <v:imagedata o:title=""/>
                <o:lock v:ext="edit" aspectratio="f"/>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73600" behindDoc="0" locked="0" layoutInCell="1" allowOverlap="1">
                <wp:simplePos x="0" y="0"/>
                <wp:positionH relativeFrom="column">
                  <wp:posOffset>4697730</wp:posOffset>
                </wp:positionH>
                <wp:positionV relativeFrom="paragraph">
                  <wp:posOffset>1240155</wp:posOffset>
                </wp:positionV>
                <wp:extent cx="78105" cy="78105"/>
                <wp:effectExtent l="6350" t="6350" r="10795" b="10795"/>
                <wp:wrapNone/>
                <wp:docPr id="54" name="椭圆 54"/>
                <wp:cNvGraphicFramePr/>
                <a:graphic xmlns:a="http://schemas.openxmlformats.org/drawingml/2006/main">
                  <a:graphicData uri="http://schemas.microsoft.com/office/word/2010/wordprocessingShape">
                    <wps:wsp>
                      <wps:cNvSpPr/>
                      <wps:spPr>
                        <a:xfrm>
                          <a:off x="5777865" y="2656205"/>
                          <a:ext cx="78105" cy="7810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9.9pt;margin-top:97.65pt;height:6.15pt;width:6.15pt;z-index:251673600;v-text-anchor:middle;mso-width-relative:page;mso-height-relative:page;" fillcolor="#FF0000" filled="t" stroked="t" coordsize="21600,21600" o:gfxdata="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5qYo1wAAAAsBAAAPAAAAAAAAAAEAIAAAACIAAABkcnMv&#10;ZG93bnJldi54bWxQSwECFAAUAAAACACHTuJAFmnrFHYCAAACBQAADgAAAAAAAAABACAAAAAmAQAA&#10;ZHJzL2Uyb0RvYy54bWxQSwUGAAAAAAYABgBZAQAADgYAAAAA&#10;">
                <v:fill on="t" focussize="0,0"/>
                <v:stroke weight="1pt" color="#FF0000 [2404]" miterlimit="8" joinstyle="miter"/>
                <v:imagedata o:title=""/>
                <o:lock v:ext="edit" aspectratio="f"/>
              </v:shape>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72576" behindDoc="0" locked="0" layoutInCell="1" allowOverlap="1">
                <wp:simplePos x="0" y="0"/>
                <wp:positionH relativeFrom="column">
                  <wp:posOffset>3014980</wp:posOffset>
                </wp:positionH>
                <wp:positionV relativeFrom="paragraph">
                  <wp:posOffset>2814955</wp:posOffset>
                </wp:positionV>
                <wp:extent cx="184150" cy="89535"/>
                <wp:effectExtent l="15240" t="27305" r="29210" b="35560"/>
                <wp:wrapNone/>
                <wp:docPr id="53" name="矩形 53"/>
                <wp:cNvGraphicFramePr/>
                <a:graphic xmlns:a="http://schemas.openxmlformats.org/drawingml/2006/main">
                  <a:graphicData uri="http://schemas.microsoft.com/office/word/2010/wordprocessingShape">
                    <wps:wsp>
                      <wps:cNvSpPr/>
                      <wps:spPr>
                        <a:xfrm rot="20820000">
                          <a:off x="4095115" y="4253865"/>
                          <a:ext cx="184150" cy="8953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7.4pt;margin-top:221.65pt;height:7.05pt;width:14.5pt;rotation:-851968f;z-index:251672576;v-text-anchor:middle;mso-width-relative:page;mso-height-relative:page;" filled="f" stroked="t" coordsize="21600,21600" o:gfxdata="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gQDDNgAAAALAQAADwAAAAAAAAABACAA&#10;AAAiAAAAZHJzL2Rvd25yZXYueG1sUEsBAhQAFAAAAAgAh07iQE9TVZF/AgAA5gQAAA4AAAAAAAAA&#10;AQAgAAAAJwEAAGRycy9lMm9Eb2MueG1sUEsFBgAAAAAGAAYAWQEAABgGAAAAAA==&#10;">
                <v:fill on="f" focussize="0,0"/>
                <v:stroke weight="1pt" color="#FF0000 [2404]" miterlimit="8" joinstyle="miter"/>
                <v:imagedata o:title=""/>
                <o:lock v:ext="edit" aspectratio="f"/>
              </v:rect>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71552" behindDoc="0" locked="0" layoutInCell="1" allowOverlap="1">
                <wp:simplePos x="0" y="0"/>
                <wp:positionH relativeFrom="column">
                  <wp:posOffset>3663950</wp:posOffset>
                </wp:positionH>
                <wp:positionV relativeFrom="paragraph">
                  <wp:posOffset>2602230</wp:posOffset>
                </wp:positionV>
                <wp:extent cx="75565" cy="75565"/>
                <wp:effectExtent l="6350" t="6350" r="13335" b="13335"/>
                <wp:wrapNone/>
                <wp:docPr id="51" name="矩形 51"/>
                <wp:cNvGraphicFramePr/>
                <a:graphic xmlns:a="http://schemas.openxmlformats.org/drawingml/2006/main">
                  <a:graphicData uri="http://schemas.microsoft.com/office/word/2010/wordprocessingShape">
                    <wps:wsp>
                      <wps:cNvSpPr/>
                      <wps:spPr>
                        <a:xfrm>
                          <a:off x="4744085" y="4018280"/>
                          <a:ext cx="75565" cy="7556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8.5pt;margin-top:204.9pt;height:5.95pt;width:5.95pt;z-index:251671552;v-text-anchor:middle;mso-width-relative:page;mso-height-relative:page;" fillcolor="#4874CB [3204]" filled="t" stroked="t" coordsize="21600,21600" o:gfxdata="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sgbByNwA&#10;AAALAQAADwAAAAAAAAABACAAAAAiAAAAZHJzL2Rvd25yZXYueG1sUEsBAhQAFAAAAAgAh07iQFJQ&#10;jQ+NAgAAIQUAAA4AAAAAAAAAAQAgAAAAKwEAAGRycy9lMm9Eb2MueG1sUEsFBgAAAAAGAAYAWQEA&#10;ACoGAAAAAA==&#10;">
                <v:fill on="t" focussize="0,0"/>
                <v:stroke weight="1pt" color="#2E54A1 [2404]" miterlimit="8" joinstyle="miter"/>
                <v:imagedata o:title=""/>
                <o:lock v:ext="edit" aspectratio="f"/>
              </v:rect>
            </w:pict>
          </mc:Fallback>
        </mc:AlternateContent>
      </w:r>
      <w:r>
        <w:rPr>
          <w:rFonts w:hint="default" w:ascii="Times New Roman" w:hAnsi="Times New Roman" w:cs="Times New Roman"/>
          <w:highlight w:val="none"/>
        </w:rPr>
        <w:drawing>
          <wp:inline distT="0" distB="0" distL="114300" distR="114300">
            <wp:extent cx="8530590" cy="4438650"/>
            <wp:effectExtent l="0" t="0" r="381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0"/>
                    <a:stretch>
                      <a:fillRect/>
                    </a:stretch>
                  </pic:blipFill>
                  <pic:spPr>
                    <a:xfrm>
                      <a:off x="0" y="0"/>
                      <a:ext cx="8530590" cy="4438650"/>
                    </a:xfrm>
                    <a:prstGeom prst="rect">
                      <a:avLst/>
                    </a:prstGeom>
                    <a:noFill/>
                    <a:ln>
                      <a:noFill/>
                    </a:ln>
                  </pic:spPr>
                </pic:pic>
              </a:graphicData>
            </a:graphic>
          </wp:inline>
        </w:drawing>
      </w:r>
      <w:r>
        <w:rPr>
          <w:rFonts w:hint="default" w:ascii="Times New Roman" w:hAnsi="Times New Roman" w:cs="Times New Roman"/>
          <w:color w:val="auto"/>
          <w:sz w:val="20"/>
          <w:highlight w:val="none"/>
        </w:rPr>
        <mc:AlternateContent>
          <mc:Choice Requires="wps">
            <w:drawing>
              <wp:anchor distT="0" distB="0" distL="114300" distR="114300" simplePos="0" relativeHeight="251675648" behindDoc="0" locked="0" layoutInCell="1" allowOverlap="1">
                <wp:simplePos x="0" y="0"/>
                <wp:positionH relativeFrom="column">
                  <wp:posOffset>7112000</wp:posOffset>
                </wp:positionH>
                <wp:positionV relativeFrom="paragraph">
                  <wp:posOffset>3774440</wp:posOffset>
                </wp:positionV>
                <wp:extent cx="1398905" cy="688340"/>
                <wp:effectExtent l="4445" t="4445" r="6350" b="12065"/>
                <wp:wrapNone/>
                <wp:docPr id="56" name="文本框 56"/>
                <wp:cNvGraphicFramePr/>
                <a:graphic xmlns:a="http://schemas.openxmlformats.org/drawingml/2006/main">
                  <a:graphicData uri="http://schemas.microsoft.com/office/word/2010/wordprocessingShape">
                    <wps:wsp>
                      <wps:cNvSpPr txBox="1"/>
                      <wps:spPr>
                        <a:xfrm>
                          <a:off x="0" y="0"/>
                          <a:ext cx="1398905" cy="6883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53D9F0">
                            <w:pPr>
                              <w:jc w:val="center"/>
                              <w:rPr>
                                <w:rFonts w:hint="eastAsia"/>
                                <w:lang w:eastAsia="zh-CN"/>
                              </w:rPr>
                            </w:pPr>
                            <w:r>
                              <w:rPr>
                                <w:rFonts w:hint="eastAsia"/>
                                <w:lang w:eastAsia="zh-CN"/>
                              </w:rPr>
                              <w:t>图例</w:t>
                            </w:r>
                          </w:p>
                          <w:p w14:paraId="6BC26AA4">
                            <w:pPr>
                              <w:rPr>
                                <w:rFonts w:hint="eastAsia"/>
                                <w:lang w:eastAsia="zh-CN"/>
                              </w:rPr>
                            </w:pPr>
                            <w:r>
                              <w:rPr>
                                <w:rFonts w:hint="eastAsia"/>
                                <w:b/>
                                <w:bCs/>
                                <w:color w:val="FF0000"/>
                                <w:lang w:eastAsia="zh-CN"/>
                              </w:rPr>
                              <w:t>□</w:t>
                            </w:r>
                            <w:r>
                              <w:rPr>
                                <w:rFonts w:hint="eastAsia"/>
                                <w:lang w:eastAsia="zh-CN"/>
                              </w:rPr>
                              <w:t>项目位置</w:t>
                            </w:r>
                          </w:p>
                          <w:p w14:paraId="2368EB76">
                            <w:pPr>
                              <w:ind w:firstLine="210" w:firstLineChars="100"/>
                              <w:rPr>
                                <w:rFonts w:hint="default"/>
                                <w:lang w:val="en-US" w:eastAsia="zh-CN"/>
                              </w:rPr>
                            </w:pPr>
                            <w:r>
                              <w:rPr>
                                <w:rFonts w:hint="eastAsia"/>
                                <w:lang w:val="en-US" w:eastAsia="zh-CN"/>
                              </w:rPr>
                              <w:t>TSP监测点位</w:t>
                            </w:r>
                          </w:p>
                        </w:txbxContent>
                      </wps:txbx>
                      <wps:bodyPr upright="1"/>
                    </wps:wsp>
                  </a:graphicData>
                </a:graphic>
              </wp:anchor>
            </w:drawing>
          </mc:Choice>
          <mc:Fallback>
            <w:pict>
              <v:shape id="_x0000_s1026" o:spid="_x0000_s1026" o:spt="202" type="#_x0000_t202" style="position:absolute;left:0pt;margin-left:560pt;margin-top:297.2pt;height:54.2pt;width:110.15pt;z-index:251675648;mso-width-relative:page;mso-height-relative:page;" fillcolor="#FFFFFF" filled="t" stroked="t" coordsize="21600,21600" o:gfxdata="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A7v5NoAAAANAQAADwAAAAAAAAAB&#10;ACAAAAAiAAAAZHJzL2Rvd25yZXYueG1sUEsBAhQAFAAAAAgAh07iQG8xnDgOAgAAOAQAAA4AAAAA&#10;AAAAAQAgAAAAKQEAAGRycy9lMm9Eb2MueG1sUEsFBgAAAAAGAAYAWQEAAKkFAAAAAA==&#10;">
                <v:fill on="t" focussize="0,0"/>
                <v:stroke color="#000000" joinstyle="miter"/>
                <v:imagedata o:title=""/>
                <o:lock v:ext="edit" aspectratio="f"/>
                <v:textbox>
                  <w:txbxContent>
                    <w:p w14:paraId="4153D9F0">
                      <w:pPr>
                        <w:jc w:val="center"/>
                        <w:rPr>
                          <w:rFonts w:hint="eastAsia"/>
                          <w:lang w:eastAsia="zh-CN"/>
                        </w:rPr>
                      </w:pPr>
                      <w:r>
                        <w:rPr>
                          <w:rFonts w:hint="eastAsia"/>
                          <w:lang w:eastAsia="zh-CN"/>
                        </w:rPr>
                        <w:t>图例</w:t>
                      </w:r>
                    </w:p>
                    <w:p w14:paraId="6BC26AA4">
                      <w:pPr>
                        <w:rPr>
                          <w:rFonts w:hint="eastAsia"/>
                          <w:lang w:eastAsia="zh-CN"/>
                        </w:rPr>
                      </w:pPr>
                      <w:r>
                        <w:rPr>
                          <w:rFonts w:hint="eastAsia"/>
                          <w:b/>
                          <w:bCs/>
                          <w:color w:val="FF0000"/>
                          <w:lang w:eastAsia="zh-CN"/>
                        </w:rPr>
                        <w:t>□</w:t>
                      </w:r>
                      <w:r>
                        <w:rPr>
                          <w:rFonts w:hint="eastAsia"/>
                          <w:lang w:eastAsia="zh-CN"/>
                        </w:rPr>
                        <w:t>项目位置</w:t>
                      </w:r>
                    </w:p>
                    <w:p w14:paraId="2368EB76">
                      <w:pPr>
                        <w:ind w:firstLine="210" w:firstLineChars="100"/>
                        <w:rPr>
                          <w:rFonts w:hint="default"/>
                          <w:lang w:val="en-US" w:eastAsia="zh-CN"/>
                        </w:rPr>
                      </w:pPr>
                      <w:r>
                        <w:rPr>
                          <w:rFonts w:hint="eastAsia"/>
                          <w:lang w:val="en-US" w:eastAsia="zh-CN"/>
                        </w:rPr>
                        <w:t>TSP监测点位</w:t>
                      </w:r>
                    </w:p>
                  </w:txbxContent>
                </v:textbox>
              </v:shape>
            </w:pict>
          </mc:Fallback>
        </mc:AlternateContent>
      </w:r>
      <w:r>
        <w:rPr>
          <w:rFonts w:hint="default" w:ascii="Times New Roman" w:hAnsi="Times New Roman" w:cs="Times New Roman"/>
          <w:color w:val="auto"/>
          <w:highlight w:val="none"/>
        </w:rPr>
        <w:drawing>
          <wp:anchor distT="0" distB="0" distL="114300" distR="114300" simplePos="0" relativeHeight="251674624" behindDoc="0" locked="0" layoutInCell="1" allowOverlap="1">
            <wp:simplePos x="0" y="0"/>
            <wp:positionH relativeFrom="column">
              <wp:posOffset>7884795</wp:posOffset>
            </wp:positionH>
            <wp:positionV relativeFrom="paragraph">
              <wp:posOffset>51435</wp:posOffset>
            </wp:positionV>
            <wp:extent cx="600075" cy="613410"/>
            <wp:effectExtent l="0" t="0" r="9525" b="15240"/>
            <wp:wrapNone/>
            <wp:docPr id="55" name="图片 6" descr="绥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绥化"/>
                    <pic:cNvPicPr>
                      <a:picLocks noChangeAspect="1"/>
                    </pic:cNvPicPr>
                  </pic:nvPicPr>
                  <pic:blipFill>
                    <a:blip r:embed="rId25"/>
                    <a:stretch>
                      <a:fillRect/>
                    </a:stretch>
                  </pic:blipFill>
                  <pic:spPr>
                    <a:xfrm>
                      <a:off x="0" y="0"/>
                      <a:ext cx="600075" cy="613410"/>
                    </a:xfrm>
                    <a:prstGeom prst="rect">
                      <a:avLst/>
                    </a:prstGeom>
                    <a:noFill/>
                    <a:ln>
                      <a:noFill/>
                    </a:ln>
                  </pic:spPr>
                </pic:pic>
              </a:graphicData>
            </a:graphic>
          </wp:anchor>
        </w:drawing>
      </w:r>
      <w:r>
        <w:rPr>
          <w:rFonts w:hint="default" w:ascii="Times New Roman" w:hAnsi="Times New Roman" w:cs="Times New Roman"/>
          <w:highlight w:val="none"/>
        </w:rPr>
        <w:br w:type="page"/>
      </w:r>
    </w:p>
    <w:p w14:paraId="584A1B58">
      <w:pPr>
        <w:pStyle w:val="2"/>
        <w:bidi w:val="0"/>
        <w:jc w:val="center"/>
        <w:rPr>
          <w:rFonts w:hint="default" w:ascii="Times New Roman" w:hAnsi="Times New Roman" w:cs="Times New Roman"/>
          <w:highlight w:val="none"/>
        </w:rPr>
      </w:pPr>
      <w:r>
        <w:rPr>
          <w:rFonts w:hint="default" w:ascii="Times New Roman" w:hAnsi="Times New Roman" w:cs="Times New Roman"/>
          <w:highlight w:val="none"/>
        </w:rPr>
        <w:t>附件1营业执照</w:t>
      </w:r>
      <w:bookmarkEnd w:id="17"/>
    </w:p>
    <w:p w14:paraId="41180656">
      <w:pPr>
        <w:jc w:val="center"/>
        <w:rPr>
          <w:rFonts w:hint="default" w:ascii="Times New Roman" w:hAnsi="Times New Roman" w:eastAsia="宋体" w:cs="Times New Roman"/>
          <w:b/>
          <w:bCs/>
          <w:color w:val="auto"/>
          <w:highlight w:val="none"/>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
          <w:bCs/>
          <w:color w:val="auto"/>
          <w:highlight w:val="none"/>
          <w:lang w:eastAsia="zh-CN"/>
        </w:rPr>
        <w:drawing>
          <wp:inline distT="0" distB="0" distL="114300" distR="114300">
            <wp:extent cx="7129780" cy="5143500"/>
            <wp:effectExtent l="0" t="0" r="13970" b="0"/>
            <wp:docPr id="5" name="图片 14" descr="5cd366ba4fe0238196b94d85fb59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cd366ba4fe0238196b94d85fb59cdc"/>
                    <pic:cNvPicPr>
                      <a:picLocks noChangeAspect="1"/>
                    </pic:cNvPicPr>
                  </pic:nvPicPr>
                  <pic:blipFill>
                    <a:blip r:embed="rId31"/>
                    <a:stretch>
                      <a:fillRect/>
                    </a:stretch>
                  </pic:blipFill>
                  <pic:spPr>
                    <a:xfrm>
                      <a:off x="0" y="0"/>
                      <a:ext cx="7129780" cy="5143500"/>
                    </a:xfrm>
                    <a:prstGeom prst="rect">
                      <a:avLst/>
                    </a:prstGeom>
                    <a:noFill/>
                    <a:ln>
                      <a:noFill/>
                    </a:ln>
                  </pic:spPr>
                </pic:pic>
              </a:graphicData>
            </a:graphic>
          </wp:inline>
        </w:drawing>
      </w:r>
    </w:p>
    <w:p w14:paraId="6AB047AA">
      <w:pPr>
        <w:pStyle w:val="2"/>
        <w:bidi w:val="0"/>
        <w:jc w:val="center"/>
        <w:rPr>
          <w:rFonts w:hint="default" w:ascii="Times New Roman" w:hAnsi="Times New Roman" w:cs="Times New Roman"/>
          <w:b w:val="0"/>
          <w:bCs w:val="0"/>
          <w:color w:val="auto"/>
          <w:highlight w:val="none"/>
        </w:rPr>
      </w:pPr>
      <w:bookmarkStart w:id="18" w:name="_Toc23468"/>
      <w:r>
        <w:rPr>
          <w:rFonts w:hint="default" w:ascii="Times New Roman" w:hAnsi="Times New Roman" w:cs="Times New Roman"/>
          <w:highlight w:val="none"/>
        </w:rPr>
        <w:t>附件</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 xml:space="preserve"> 生物质成型颗粒分析报告</w:t>
      </w:r>
      <w:bookmarkEnd w:id="18"/>
    </w:p>
    <w:p w14:paraId="4B3FD6C3">
      <w:pPr>
        <w:pStyle w:val="1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snapToGrid w:val="0"/>
          <w:color w:val="auto"/>
          <w:sz w:val="32"/>
          <w:szCs w:val="32"/>
          <w:highlight w:val="none"/>
          <w:lang w:val="en-US" w:eastAsia="zh-CN"/>
        </w:rPr>
      </w:pPr>
      <w:r>
        <w:rPr>
          <w:rFonts w:hint="default" w:ascii="Times New Roman" w:hAnsi="Times New Roman" w:cs="Times New Roman"/>
          <w:highlight w:val="none"/>
          <w:lang w:eastAsia="zh-CN"/>
        </w:rPr>
        <w:drawing>
          <wp:inline distT="0" distB="0" distL="114300" distR="114300">
            <wp:extent cx="5286375" cy="7305675"/>
            <wp:effectExtent l="0" t="0" r="9525" b="9525"/>
            <wp:docPr id="48" name="图片 9" descr="809feb9ad759d29d014f4ed75442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809feb9ad759d29d014f4ed754427f0"/>
                    <pic:cNvPicPr>
                      <a:picLocks noChangeAspect="1"/>
                    </pic:cNvPicPr>
                  </pic:nvPicPr>
                  <pic:blipFill>
                    <a:blip r:embed="rId32"/>
                    <a:stretch>
                      <a:fillRect/>
                    </a:stretch>
                  </pic:blipFill>
                  <pic:spPr>
                    <a:xfrm>
                      <a:off x="0" y="0"/>
                      <a:ext cx="5286375" cy="7305675"/>
                    </a:xfrm>
                    <a:prstGeom prst="rect">
                      <a:avLst/>
                    </a:prstGeom>
                    <a:noFill/>
                    <a:ln>
                      <a:noFill/>
                    </a:ln>
                  </pic:spPr>
                </pic:pic>
              </a:graphicData>
            </a:graphic>
          </wp:inline>
        </w:drawing>
      </w:r>
    </w:p>
    <w:p w14:paraId="373D3C19">
      <w:pPr>
        <w:pStyle w:val="2"/>
        <w:bidi w:val="0"/>
        <w:jc w:val="center"/>
        <w:rPr>
          <w:rFonts w:hint="default" w:ascii="Times New Roman" w:hAnsi="Times New Roman" w:cs="Times New Roman"/>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A95AD02">
      <w:pPr>
        <w:pStyle w:val="2"/>
        <w:bidi w:val="0"/>
        <w:jc w:val="center"/>
        <w:rPr>
          <w:rFonts w:hint="default" w:ascii="Times New Roman" w:hAnsi="Times New Roman" w:eastAsia="黑体" w:cs="Times New Roman"/>
          <w:b w:val="0"/>
          <w:bCs w:val="0"/>
          <w:color w:val="auto"/>
          <w:highlight w:val="none"/>
          <w:lang w:eastAsia="zh-CN"/>
        </w:rPr>
      </w:pPr>
      <w:r>
        <w:rPr>
          <w:rFonts w:hint="default" w:ascii="Times New Roman" w:hAnsi="Times New Roman" w:cs="Times New Roman"/>
          <w:highlight w:val="none"/>
        </w:rPr>
        <w:t>附件</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《生态环境分区管控分析报告》</w:t>
      </w:r>
    </w:p>
    <w:p w14:paraId="026BE234">
      <w:pPr>
        <w:pStyle w:val="11"/>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snapToGrid w:val="0"/>
          <w:color w:val="auto"/>
          <w:sz w:val="32"/>
          <w:szCs w:val="32"/>
          <w:highlight w:val="none"/>
          <w:lang w:val="en-US" w:eastAsia="zh-CN"/>
        </w:rPr>
      </w:pP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274560" cy="5144135"/>
            <wp:effectExtent l="0" t="0" r="2540" b="18415"/>
            <wp:docPr id="7" name="图片 16" descr="青冈县赵董农副产品生产有限公司建设_2025年06月17日155148_分析报告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青冈县赵董农副产品生产有限公司建设_2025年06月17日155148_分析报告_00"/>
                    <pic:cNvPicPr>
                      <a:picLocks noChangeAspect="1"/>
                    </pic:cNvPicPr>
                  </pic:nvPicPr>
                  <pic:blipFill>
                    <a:blip r:embed="rId33"/>
                    <a:stretch>
                      <a:fillRect/>
                    </a:stretch>
                  </pic:blipFill>
                  <pic:spPr>
                    <a:xfrm>
                      <a:off x="0" y="0"/>
                      <a:ext cx="7274560" cy="5144135"/>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8" name="图片 17" descr="青冈县赵董农副产品生产有限公司建设_2025年06月17日155148_分析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青冈县赵董农副产品生产有限公司建设_2025年06月17日155148_分析报告_01"/>
                    <pic:cNvPicPr>
                      <a:picLocks noChangeAspect="1"/>
                    </pic:cNvPicPr>
                  </pic:nvPicPr>
                  <pic:blipFill>
                    <a:blip r:embed="rId34"/>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9" name="图片 18" descr="青冈县赵董农副产品生产有限公司建设_2025年06月17日155148_分析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青冈县赵董农副产品生产有限公司建设_2025年06月17日155148_分析报告_02"/>
                    <pic:cNvPicPr>
                      <a:picLocks noChangeAspect="1"/>
                    </pic:cNvPicPr>
                  </pic:nvPicPr>
                  <pic:blipFill>
                    <a:blip r:embed="rId35"/>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10" name="图片 19" descr="青冈县赵董农副产品生产有限公司建设_2025年06月17日155148_分析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青冈县赵董农副产品生产有限公司建设_2025年06月17日155148_分析报告_03"/>
                    <pic:cNvPicPr>
                      <a:picLocks noChangeAspect="1"/>
                    </pic:cNvPicPr>
                  </pic:nvPicPr>
                  <pic:blipFill>
                    <a:blip r:embed="rId36"/>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7490" cy="5556250"/>
            <wp:effectExtent l="0" t="0" r="10160" b="6350"/>
            <wp:docPr id="11" name="图片 20" descr="青冈县赵董农副产品生产有限公司建设_2025年06月17日155148_分析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青冈县赵董农副产品生产有限公司建设_2025年06月17日155148_分析报告_04"/>
                    <pic:cNvPicPr>
                      <a:picLocks noChangeAspect="1"/>
                    </pic:cNvPicPr>
                  </pic:nvPicPr>
                  <pic:blipFill>
                    <a:blip r:embed="rId37"/>
                    <a:stretch>
                      <a:fillRect/>
                    </a:stretch>
                  </pic:blipFill>
                  <pic:spPr>
                    <a:xfrm>
                      <a:off x="0" y="0"/>
                      <a:ext cx="7857490" cy="555625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12" name="图片 21" descr="青冈县赵董农副产品生产有限公司建设_2025年06月17日155148_分析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青冈县赵董农副产品生产有限公司建设_2025年06月17日155148_分析报告_05"/>
                    <pic:cNvPicPr>
                      <a:picLocks noChangeAspect="1"/>
                    </pic:cNvPicPr>
                  </pic:nvPicPr>
                  <pic:blipFill>
                    <a:blip r:embed="rId38"/>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13" name="图片 22" descr="青冈县赵董农副产品生产有限公司建设_2025年06月17日155148_分析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青冈县赵董农副产品生产有限公司建设_2025年06月17日155148_分析报告_06"/>
                    <pic:cNvPicPr>
                      <a:picLocks noChangeAspect="1"/>
                    </pic:cNvPicPr>
                  </pic:nvPicPr>
                  <pic:blipFill>
                    <a:blip r:embed="rId39"/>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14" name="图片 23" descr="青冈县赵董农副产品生产有限公司建设_2025年06月17日155148_分析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青冈县赵董农副产品生产有限公司建设_2025年06月17日155148_分析报告_07"/>
                    <pic:cNvPicPr>
                      <a:picLocks noChangeAspect="1"/>
                    </pic:cNvPicPr>
                  </pic:nvPicPr>
                  <pic:blipFill>
                    <a:blip r:embed="rId40"/>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15" name="图片 24" descr="青冈县赵董农副产品生产有限公司建设_2025年06月17日155148_分析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青冈县赵董农副产品生产有限公司建设_2025年06月17日155148_分析报告_08"/>
                    <pic:cNvPicPr>
                      <a:picLocks noChangeAspect="1"/>
                    </pic:cNvPicPr>
                  </pic:nvPicPr>
                  <pic:blipFill>
                    <a:blip r:embed="rId41"/>
                    <a:stretch>
                      <a:fillRect/>
                    </a:stretch>
                  </pic:blipFill>
                  <pic:spPr>
                    <a:xfrm>
                      <a:off x="0" y="0"/>
                      <a:ext cx="7855585" cy="5554980"/>
                    </a:xfrm>
                    <a:prstGeom prst="rect">
                      <a:avLst/>
                    </a:prstGeom>
                    <a:noFill/>
                    <a:ln>
                      <a:noFill/>
                    </a:ln>
                  </pic:spPr>
                </pic:pic>
              </a:graphicData>
            </a:graphic>
          </wp:inline>
        </w:drawing>
      </w:r>
      <w:r>
        <w:rPr>
          <w:rFonts w:hint="default" w:ascii="Times New Roman" w:hAnsi="Times New Roman" w:eastAsia="黑体" w:cs="Times New Roman"/>
          <w:snapToGrid w:val="0"/>
          <w:color w:val="auto"/>
          <w:sz w:val="32"/>
          <w:szCs w:val="32"/>
          <w:highlight w:val="none"/>
          <w:lang w:val="en-US" w:eastAsia="zh-CN"/>
        </w:rPr>
        <w:drawing>
          <wp:inline distT="0" distB="0" distL="114300" distR="114300">
            <wp:extent cx="7855585" cy="5554980"/>
            <wp:effectExtent l="0" t="0" r="12065" b="7620"/>
            <wp:docPr id="16" name="图片 25" descr="青冈县赵董农副产品生产有限公司建设_2025年06月17日155148_分析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青冈县赵董农副产品生产有限公司建设_2025年06月17日155148_分析报告_09"/>
                    <pic:cNvPicPr>
                      <a:picLocks noChangeAspect="1"/>
                    </pic:cNvPicPr>
                  </pic:nvPicPr>
                  <pic:blipFill>
                    <a:blip r:embed="rId42"/>
                    <a:stretch>
                      <a:fillRect/>
                    </a:stretch>
                  </pic:blipFill>
                  <pic:spPr>
                    <a:xfrm>
                      <a:off x="0" y="0"/>
                      <a:ext cx="7855585" cy="5554980"/>
                    </a:xfrm>
                    <a:prstGeom prst="rect">
                      <a:avLst/>
                    </a:prstGeom>
                    <a:noFill/>
                    <a:ln>
                      <a:noFill/>
                    </a:ln>
                  </pic:spPr>
                </pic:pic>
              </a:graphicData>
            </a:graphic>
          </wp:inline>
        </w:drawing>
      </w:r>
    </w:p>
    <w:p w14:paraId="618E580B">
      <w:pPr>
        <w:pStyle w:val="11"/>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ascii="Times New Roman" w:hAnsi="Times New Roman" w:eastAsia="黑体" w:cs="Times New Roman"/>
          <w:snapToGrid w:val="0"/>
          <w:color w:val="auto"/>
          <w:sz w:val="32"/>
          <w:szCs w:val="32"/>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5E6CF0F1">
      <w:pPr>
        <w:pStyle w:val="2"/>
        <w:bidi w:val="0"/>
        <w:jc w:val="center"/>
        <w:rPr>
          <w:rFonts w:hint="default" w:ascii="Times New Roman" w:hAnsi="Times New Roman" w:cs="Times New Roman"/>
          <w:b/>
          <w:bCs/>
          <w:color w:val="auto"/>
          <w:highlight w:val="none"/>
          <w:lang w:val="en-US" w:eastAsia="zh-CN"/>
        </w:rPr>
      </w:pPr>
      <w:bookmarkStart w:id="19" w:name="_Toc993"/>
      <w:r>
        <w:rPr>
          <w:rFonts w:hint="default" w:ascii="Times New Roman" w:hAnsi="Times New Roman" w:cs="Times New Roman"/>
          <w:highlight w:val="none"/>
        </w:rPr>
        <w:t>附件</w:t>
      </w:r>
      <w:r>
        <w:rPr>
          <w:rFonts w:hint="default" w:ascii="Times New Roman" w:hAnsi="Times New Roman" w:cs="Times New Roman"/>
          <w:highlight w:val="none"/>
          <w:lang w:val="en-US" w:eastAsia="zh-CN"/>
        </w:rPr>
        <w:t>4关于核定总量计算说明</w:t>
      </w:r>
      <w:bookmarkEnd w:id="19"/>
    </w:p>
    <w:p w14:paraId="0291B9BD">
      <w:pPr>
        <w:spacing w:line="360" w:lineRule="auto"/>
        <w:ind w:firstLine="422" w:firstLineChars="200"/>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kern w:val="0"/>
          <w:szCs w:val="21"/>
          <w:highlight w:val="none"/>
          <w:lang w:val="en-US" w:eastAsia="zh-CN"/>
        </w:rPr>
        <w:t>1、废气</w:t>
      </w:r>
    </w:p>
    <w:p w14:paraId="494B8E35">
      <w:pPr>
        <w:spacing w:line="360" w:lineRule="auto"/>
        <w:ind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本项目年燃生物质量为</w:t>
      </w:r>
      <w:r>
        <w:rPr>
          <w:rFonts w:hint="default" w:ascii="Times New Roman" w:hAnsi="Times New Roman" w:cs="Times New Roman"/>
          <w:color w:val="auto"/>
          <w:sz w:val="21"/>
          <w:szCs w:val="21"/>
          <w:highlight w:val="none"/>
          <w:lang w:val="en-US" w:eastAsia="zh-CN"/>
        </w:rPr>
        <w:t>306.44</w:t>
      </w:r>
      <w:r>
        <w:rPr>
          <w:rFonts w:hint="default" w:ascii="Times New Roman" w:hAnsi="Times New Roman" w:eastAsia="宋体" w:cs="Times New Roman"/>
          <w:color w:val="auto"/>
          <w:sz w:val="21"/>
          <w:szCs w:val="21"/>
          <w:highlight w:val="none"/>
        </w:rPr>
        <w:t>t，根据《关于核定总量计算说明》对锅炉排放的污染物计算情况如下：</w:t>
      </w:r>
    </w:p>
    <w:p w14:paraId="0A8B3052">
      <w:pPr>
        <w:pStyle w:val="3"/>
        <w:adjustRightInd w:val="0"/>
        <w:snapToGrid w:val="0"/>
        <w:spacing w:line="360" w:lineRule="auto"/>
        <w:ind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干烟气排放量计算参照《排污许可证申请与核发技术规范 锅炉》（HJ953-2018），本项目低位发热量（Q</w:t>
      </w:r>
      <w:r>
        <w:rPr>
          <w:rFonts w:hint="default" w:ascii="Times New Roman" w:hAnsi="Times New Roman" w:eastAsia="宋体" w:cs="Times New Roman"/>
          <w:color w:val="auto"/>
          <w:sz w:val="21"/>
          <w:szCs w:val="21"/>
          <w:highlight w:val="none"/>
          <w:vertAlign w:val="subscript"/>
        </w:rPr>
        <w:t>net，ar</w:t>
      </w:r>
      <w:r>
        <w:rPr>
          <w:rFonts w:hint="default" w:ascii="Times New Roman" w:hAnsi="Times New Roman" w:eastAsia="宋体" w:cs="Times New Roman"/>
          <w:color w:val="auto"/>
          <w:sz w:val="21"/>
          <w:szCs w:val="21"/>
          <w:highlight w:val="none"/>
        </w:rPr>
        <w:t>）为</w:t>
      </w:r>
      <w:r>
        <w:rPr>
          <w:rFonts w:hint="default" w:ascii="Times New Roman" w:hAnsi="Times New Roman" w:cs="Times New Roman"/>
          <w:color w:val="auto"/>
          <w:sz w:val="21"/>
          <w:szCs w:val="21"/>
          <w:highlight w:val="none"/>
          <w:lang w:val="en-US" w:eastAsia="zh-CN"/>
        </w:rPr>
        <w:t>3317</w:t>
      </w:r>
      <w:r>
        <w:rPr>
          <w:rFonts w:hint="default" w:ascii="Times New Roman" w:hAnsi="Times New Roman" w:eastAsia="宋体" w:cs="Times New Roman"/>
          <w:color w:val="auto"/>
          <w:sz w:val="21"/>
          <w:szCs w:val="21"/>
          <w:highlight w:val="none"/>
        </w:rPr>
        <w:t>大卡，即1</w:t>
      </w:r>
      <w:r>
        <w:rPr>
          <w:rFonts w:hint="default" w:ascii="Times New Roman" w:hAnsi="Times New Roman" w:cs="Times New Roman"/>
          <w:color w:val="auto"/>
          <w:sz w:val="21"/>
          <w:szCs w:val="21"/>
          <w:highlight w:val="none"/>
          <w:lang w:val="en-US" w:eastAsia="zh-CN"/>
        </w:rPr>
        <w:t>3.865</w:t>
      </w:r>
      <w:r>
        <w:rPr>
          <w:rFonts w:hint="default" w:ascii="Times New Roman" w:hAnsi="Times New Roman" w:eastAsia="宋体" w:cs="Times New Roman"/>
          <w:color w:val="auto"/>
          <w:sz w:val="21"/>
          <w:szCs w:val="21"/>
          <w:highlight w:val="none"/>
        </w:rPr>
        <w:t>MJ/kg，因此基准烟气量采用下式计算：</w:t>
      </w:r>
    </w:p>
    <w:p w14:paraId="15C1C09B">
      <w:pPr>
        <w:pStyle w:val="3"/>
        <w:adjustRightInd w:val="0"/>
        <w:snapToGrid w:val="0"/>
        <w:spacing w:line="360" w:lineRule="auto"/>
        <w:ind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Vdaf=</w:t>
      </w:r>
      <w:r>
        <w:rPr>
          <w:rFonts w:hint="default" w:ascii="Times New Roman" w:hAnsi="Times New Roman" w:eastAsia="宋体" w:cs="Times New Roman"/>
          <w:color w:val="auto"/>
          <w:sz w:val="21"/>
          <w:szCs w:val="21"/>
          <w:highlight w:val="none"/>
          <w:lang w:val="en-US" w:eastAsia="zh-CN"/>
        </w:rPr>
        <w:t>83.71</w:t>
      </w:r>
      <w:r>
        <w:rPr>
          <w:rFonts w:hint="default" w:ascii="Times New Roman" w:hAnsi="Times New Roman" w:eastAsia="宋体" w:cs="Times New Roman"/>
          <w:color w:val="auto"/>
          <w:sz w:val="21"/>
          <w:szCs w:val="21"/>
          <w:highlight w:val="none"/>
        </w:rPr>
        <w:t>%≥15%</w:t>
      </w:r>
    </w:p>
    <w:p w14:paraId="0ACCC701">
      <w:pPr>
        <w:pStyle w:val="3"/>
        <w:adjustRightInd w:val="0"/>
        <w:snapToGrid w:val="0"/>
        <w:spacing w:line="360" w:lineRule="auto"/>
        <w:ind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Vgy=0.393Qnet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ar +0.876=0.393×</w:t>
      </w:r>
      <w:r>
        <w:rPr>
          <w:rFonts w:hint="default" w:ascii="Times New Roman" w:hAnsi="Times New Roman" w:cs="Times New Roman"/>
          <w:color w:val="auto"/>
          <w:sz w:val="21"/>
          <w:szCs w:val="21"/>
          <w:highlight w:val="none"/>
          <w:lang w:eastAsia="zh-CN"/>
        </w:rPr>
        <w:t>13.865</w:t>
      </w:r>
      <w:r>
        <w:rPr>
          <w:rFonts w:hint="default" w:ascii="Times New Roman" w:hAnsi="Times New Roman" w:eastAsia="宋体" w:cs="Times New Roman"/>
          <w:color w:val="auto"/>
          <w:sz w:val="21"/>
          <w:szCs w:val="21"/>
          <w:highlight w:val="none"/>
        </w:rPr>
        <w:t>+0.876=</w:t>
      </w:r>
      <w:r>
        <w:rPr>
          <w:rFonts w:hint="default" w:ascii="Times New Roman" w:hAnsi="Times New Roman" w:cs="Times New Roman"/>
          <w:color w:val="auto"/>
          <w:sz w:val="21"/>
          <w:szCs w:val="21"/>
          <w:highlight w:val="none"/>
          <w:lang w:val="en-US" w:eastAsia="zh-CN"/>
        </w:rPr>
        <w:t>6.324</w:t>
      </w:r>
      <w:r>
        <w:rPr>
          <w:rFonts w:hint="default" w:ascii="Times New Roman" w:hAnsi="Times New Roman" w:eastAsia="宋体" w:cs="Times New Roman"/>
          <w:color w:val="auto"/>
          <w:sz w:val="21"/>
          <w:szCs w:val="21"/>
          <w:highlight w:val="none"/>
        </w:rPr>
        <w:t>Nm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/kg</w:t>
      </w:r>
    </w:p>
    <w:p w14:paraId="151929F3">
      <w:pPr>
        <w:pStyle w:val="3"/>
        <w:adjustRightInd w:val="0"/>
        <w:snapToGrid w:val="0"/>
        <w:spacing w:line="360" w:lineRule="auto"/>
        <w:ind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颗粒物排放量=燃料量×</w:t>
      </w:r>
      <w:r>
        <w:rPr>
          <w:rFonts w:hint="default" w:ascii="Times New Roman" w:hAnsi="Times New Roman" w:cs="Times New Roman"/>
          <w:color w:val="auto"/>
          <w:sz w:val="21"/>
          <w:szCs w:val="21"/>
          <w:highlight w:val="none"/>
          <w:lang w:val="en-US" w:eastAsia="zh-CN"/>
        </w:rPr>
        <w:t>6.324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0×10</w:t>
      </w:r>
      <w:r>
        <w:rPr>
          <w:rFonts w:hint="default" w:ascii="Times New Roman" w:hAnsi="Times New Roman" w:eastAsia="宋体" w:cs="Times New Roman"/>
          <w:color w:val="auto"/>
          <w:sz w:val="21"/>
          <w:szCs w:val="21"/>
          <w:highlight w:val="none"/>
          <w:vertAlign w:val="superscript"/>
        </w:rPr>
        <w:t>-6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0.09</w:t>
      </w:r>
      <w:r>
        <w:rPr>
          <w:rFonts w:hint="default" w:ascii="Times New Roman" w:hAnsi="Times New Roman"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t/a</w:t>
      </w:r>
    </w:p>
    <w:p w14:paraId="2B5B42B2">
      <w:pPr>
        <w:pStyle w:val="3"/>
        <w:adjustRightInd w:val="0"/>
        <w:snapToGrid w:val="0"/>
        <w:spacing w:line="360" w:lineRule="auto"/>
        <w:ind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二氧化硫排放量=燃料量×</w:t>
      </w:r>
      <w:r>
        <w:rPr>
          <w:rFonts w:hint="default" w:ascii="Times New Roman" w:hAnsi="Times New Roman" w:cs="Times New Roman"/>
          <w:color w:val="auto"/>
          <w:sz w:val="21"/>
          <w:szCs w:val="21"/>
          <w:highlight w:val="none"/>
          <w:lang w:val="en-US" w:eastAsia="zh-CN"/>
        </w:rPr>
        <w:t>6.324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00×0.8×10</w:t>
      </w:r>
      <w:r>
        <w:rPr>
          <w:rFonts w:hint="default" w:ascii="Times New Roman" w:hAnsi="Times New Roman" w:eastAsia="宋体" w:cs="Times New Roman"/>
          <w:color w:val="auto"/>
          <w:sz w:val="21"/>
          <w:szCs w:val="21"/>
          <w:highlight w:val="none"/>
          <w:vertAlign w:val="superscript"/>
        </w:rPr>
        <w:t>-6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465</w:t>
      </w:r>
      <w:r>
        <w:rPr>
          <w:rFonts w:hint="default" w:ascii="Times New Roman" w:hAnsi="Times New Roman" w:eastAsia="宋体" w:cs="Times New Roman"/>
          <w:color w:val="auto"/>
          <w:sz w:val="21"/>
          <w:szCs w:val="21"/>
          <w:highlight w:val="none"/>
        </w:rPr>
        <w:t>/a</w:t>
      </w:r>
    </w:p>
    <w:p w14:paraId="03728DD2">
      <w:pPr>
        <w:pStyle w:val="3"/>
        <w:adjustRightInd w:val="0"/>
        <w:snapToGrid w:val="0"/>
        <w:spacing w:line="360" w:lineRule="auto"/>
        <w:ind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氮氧化物排放量=燃料量×</w:t>
      </w:r>
      <w:r>
        <w:rPr>
          <w:rFonts w:hint="default" w:ascii="Times New Roman" w:hAnsi="Times New Roman" w:cs="Times New Roman"/>
          <w:color w:val="auto"/>
          <w:sz w:val="21"/>
          <w:szCs w:val="21"/>
          <w:highlight w:val="none"/>
          <w:lang w:val="en-US" w:eastAsia="zh-CN"/>
        </w:rPr>
        <w:t>6.324</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00×10</w:t>
      </w:r>
      <w:r>
        <w:rPr>
          <w:rFonts w:hint="default" w:ascii="Times New Roman" w:hAnsi="Times New Roman" w:eastAsia="宋体" w:cs="Times New Roman"/>
          <w:color w:val="auto"/>
          <w:sz w:val="21"/>
          <w:szCs w:val="21"/>
          <w:highlight w:val="none"/>
          <w:vertAlign w:val="superscript"/>
        </w:rPr>
        <w:t>-6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0.5</w:t>
      </w:r>
      <w:r>
        <w:rPr>
          <w:rFonts w:hint="default" w:ascii="Times New Roman" w:hAnsi="Times New Roman" w:cs="Times New Roman"/>
          <w:color w:val="auto"/>
          <w:sz w:val="21"/>
          <w:szCs w:val="21"/>
          <w:highlight w:val="none"/>
          <w:lang w:val="en-US" w:eastAsia="zh-CN"/>
        </w:rPr>
        <w:t>81</w:t>
      </w:r>
      <w:r>
        <w:rPr>
          <w:rFonts w:hint="default" w:ascii="Times New Roman" w:hAnsi="Times New Roman" w:eastAsia="宋体" w:cs="Times New Roman"/>
          <w:color w:val="auto"/>
          <w:sz w:val="21"/>
          <w:szCs w:val="21"/>
          <w:highlight w:val="none"/>
        </w:rPr>
        <w:t>t/a</w:t>
      </w:r>
    </w:p>
    <w:p w14:paraId="46193795">
      <w:pPr>
        <w:ind w:firstLine="42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 xml:space="preserve">  总量指标  单位：t/a</w:t>
      </w:r>
    </w:p>
    <w:tbl>
      <w:tblPr>
        <w:tblStyle w:val="13"/>
        <w:tblW w:w="850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13"/>
        <w:gridCol w:w="4591"/>
      </w:tblGrid>
      <w:tr w14:paraId="0C4F4E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2" w:type="dxa"/>
            <w:tcBorders>
              <w:tl2br w:val="nil"/>
              <w:tr2bl w:val="nil"/>
            </w:tcBorders>
            <w:noWrap w:val="0"/>
            <w:vAlign w:val="center"/>
          </w:tcPr>
          <w:p w14:paraId="3292637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指标</w:t>
            </w:r>
          </w:p>
        </w:tc>
        <w:tc>
          <w:tcPr>
            <w:tcW w:w="4285" w:type="dxa"/>
            <w:tcBorders>
              <w:tl2br w:val="nil"/>
              <w:tr2bl w:val="nil"/>
            </w:tcBorders>
            <w:noWrap w:val="0"/>
            <w:vAlign w:val="center"/>
          </w:tcPr>
          <w:p w14:paraId="6789E76C">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核定总量</w:t>
            </w:r>
          </w:p>
        </w:tc>
      </w:tr>
      <w:tr w14:paraId="71938B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2" w:type="dxa"/>
            <w:tcBorders>
              <w:tl2br w:val="nil"/>
              <w:tr2bl w:val="nil"/>
            </w:tcBorders>
            <w:noWrap w:val="0"/>
            <w:vAlign w:val="center"/>
          </w:tcPr>
          <w:p w14:paraId="2315C18F">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颗粒物</w:t>
            </w:r>
          </w:p>
        </w:tc>
        <w:tc>
          <w:tcPr>
            <w:tcW w:w="4285" w:type="dxa"/>
            <w:tcBorders>
              <w:tl2br w:val="nil"/>
              <w:tr2bl w:val="nil"/>
            </w:tcBorders>
            <w:noWrap w:val="0"/>
            <w:vAlign w:val="center"/>
          </w:tcPr>
          <w:p w14:paraId="16DEB0C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0.097</w:t>
            </w:r>
          </w:p>
        </w:tc>
      </w:tr>
      <w:tr w14:paraId="409D03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2" w:type="dxa"/>
            <w:tcBorders>
              <w:tl2br w:val="nil"/>
              <w:tr2bl w:val="nil"/>
            </w:tcBorders>
            <w:noWrap w:val="0"/>
            <w:vAlign w:val="center"/>
          </w:tcPr>
          <w:p w14:paraId="26644C7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SO</w:t>
            </w:r>
            <w:r>
              <w:rPr>
                <w:rFonts w:hint="default" w:ascii="Times New Roman" w:hAnsi="Times New Roman" w:cs="Times New Roman"/>
                <w:color w:val="auto"/>
                <w:sz w:val="18"/>
                <w:szCs w:val="18"/>
                <w:highlight w:val="none"/>
                <w:vertAlign w:val="subscript"/>
              </w:rPr>
              <w:t>2</w:t>
            </w:r>
          </w:p>
        </w:tc>
        <w:tc>
          <w:tcPr>
            <w:tcW w:w="4285" w:type="dxa"/>
            <w:tcBorders>
              <w:tl2br w:val="nil"/>
              <w:tr2bl w:val="nil"/>
            </w:tcBorders>
            <w:noWrap w:val="0"/>
            <w:vAlign w:val="center"/>
          </w:tcPr>
          <w:p w14:paraId="4E86A5B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465</w:t>
            </w:r>
          </w:p>
        </w:tc>
      </w:tr>
      <w:tr w14:paraId="02B160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2" w:type="dxa"/>
            <w:tcBorders>
              <w:tl2br w:val="nil"/>
              <w:tr2bl w:val="nil"/>
            </w:tcBorders>
            <w:noWrap w:val="0"/>
            <w:vAlign w:val="center"/>
          </w:tcPr>
          <w:p w14:paraId="00516A9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NO</w:t>
            </w:r>
            <w:r>
              <w:rPr>
                <w:rFonts w:hint="default" w:ascii="Times New Roman" w:hAnsi="Times New Roman" w:cs="Times New Roman"/>
                <w:color w:val="auto"/>
                <w:sz w:val="18"/>
                <w:szCs w:val="18"/>
                <w:highlight w:val="none"/>
                <w:vertAlign w:val="subscript"/>
              </w:rPr>
              <w:t>X</w:t>
            </w:r>
          </w:p>
        </w:tc>
        <w:tc>
          <w:tcPr>
            <w:tcW w:w="4285" w:type="dxa"/>
            <w:tcBorders>
              <w:tl2br w:val="nil"/>
              <w:tr2bl w:val="nil"/>
            </w:tcBorders>
            <w:noWrap w:val="0"/>
            <w:vAlign w:val="center"/>
          </w:tcPr>
          <w:p w14:paraId="2AF90421">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r>
              <w:rPr>
                <w:rFonts w:hint="default" w:ascii="Times New Roman" w:hAnsi="Times New Roman" w:cs="Times New Roman"/>
                <w:color w:val="auto"/>
                <w:sz w:val="18"/>
                <w:szCs w:val="18"/>
                <w:highlight w:val="none"/>
                <w:lang w:val="en-US" w:eastAsia="zh-CN"/>
              </w:rPr>
              <w:t>81</w:t>
            </w:r>
          </w:p>
        </w:tc>
      </w:tr>
    </w:tbl>
    <w:p w14:paraId="467BE17F">
      <w:pPr>
        <w:spacing w:line="360" w:lineRule="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2、废水</w:t>
      </w:r>
    </w:p>
    <w:p w14:paraId="48FA9861">
      <w:pPr>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COD核定排放总量=</w:t>
      </w:r>
      <w:r>
        <w:rPr>
          <w:rFonts w:hint="default" w:ascii="Times New Roman" w:hAnsi="Times New Roman" w:cs="Times New Roman"/>
          <w:sz w:val="21"/>
          <w:szCs w:val="21"/>
          <w:highlight w:val="none"/>
          <w:lang w:val="en-US" w:eastAsia="zh-CN"/>
        </w:rPr>
        <w:t>124.16</w:t>
      </w:r>
      <w:r>
        <w:rPr>
          <w:rFonts w:hint="default" w:ascii="Times New Roman" w:hAnsi="Times New Roman" w:cs="Times New Roman"/>
          <w:bCs/>
          <w:sz w:val="21"/>
          <w:szCs w:val="21"/>
          <w:highlight w:val="none"/>
          <w:lang w:val="en-US" w:eastAsia="zh-CN"/>
        </w:rPr>
        <w:t>t/</w:t>
      </w:r>
      <w:r>
        <w:rPr>
          <w:rFonts w:hint="default" w:ascii="Times New Roman" w:hAnsi="Times New Roman" w:cs="Times New Roman"/>
          <w:sz w:val="21"/>
          <w:szCs w:val="21"/>
          <w:highlight w:val="none"/>
        </w:rPr>
        <w:t>a×</w:t>
      </w:r>
      <w:r>
        <w:rPr>
          <w:rFonts w:hint="default" w:ascii="Times New Roman" w:hAnsi="Times New Roman" w:cs="Times New Roman"/>
          <w:sz w:val="21"/>
          <w:szCs w:val="21"/>
          <w:highlight w:val="none"/>
          <w:lang w:val="en-US" w:eastAsia="zh-CN"/>
        </w:rPr>
        <w:t>350</w:t>
      </w:r>
      <w:r>
        <w:rPr>
          <w:rFonts w:hint="default" w:ascii="Times New Roman" w:hAnsi="Times New Roman" w:cs="Times New Roman"/>
          <w:sz w:val="21"/>
          <w:szCs w:val="21"/>
          <w:highlight w:val="none"/>
        </w:rPr>
        <w:t>mg/L×10</w:t>
      </w:r>
      <w:r>
        <w:rPr>
          <w:rFonts w:hint="default" w:ascii="Times New Roman" w:hAnsi="Times New Roman" w:cs="Times New Roman"/>
          <w:sz w:val="21"/>
          <w:szCs w:val="21"/>
          <w:highlight w:val="none"/>
          <w:vertAlign w:val="superscript"/>
        </w:rPr>
        <w:t>-6</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0.044</w:t>
      </w:r>
      <w:r>
        <w:rPr>
          <w:rFonts w:hint="default" w:ascii="Times New Roman" w:hAnsi="Times New Roman" w:cs="Times New Roman"/>
          <w:sz w:val="21"/>
          <w:szCs w:val="21"/>
          <w:highlight w:val="none"/>
        </w:rPr>
        <w:t>t/a</w:t>
      </w:r>
    </w:p>
    <w:p w14:paraId="2E176298">
      <w:pPr>
        <w:pStyle w:val="32"/>
        <w:ind w:left="0" w:leftChars="0" w:firstLine="0" w:firstLineChar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氨氮核定排放总量=</w:t>
      </w:r>
      <w:r>
        <w:rPr>
          <w:rFonts w:hint="default" w:ascii="Times New Roman" w:hAnsi="Times New Roman" w:cs="Times New Roman"/>
          <w:sz w:val="21"/>
          <w:szCs w:val="21"/>
          <w:highlight w:val="none"/>
          <w:lang w:val="en-US" w:eastAsia="zh-CN"/>
        </w:rPr>
        <w:t>124.16</w:t>
      </w:r>
      <w:r>
        <w:rPr>
          <w:rFonts w:hint="default" w:ascii="Times New Roman" w:hAnsi="Times New Roman" w:cs="Times New Roman"/>
          <w:sz w:val="21"/>
          <w:szCs w:val="21"/>
          <w:highlight w:val="none"/>
        </w:rPr>
        <w:t>t/a×</w:t>
      </w:r>
      <w:r>
        <w:rPr>
          <w:rFonts w:hint="default" w:ascii="Times New Roman" w:hAnsi="Times New Roman" w:cs="Times New Roman"/>
          <w:sz w:val="21"/>
          <w:szCs w:val="21"/>
          <w:highlight w:val="none"/>
          <w:lang w:val="en-US" w:eastAsia="zh-CN"/>
        </w:rPr>
        <w:t>25</w:t>
      </w:r>
      <w:r>
        <w:rPr>
          <w:rFonts w:hint="default" w:ascii="Times New Roman" w:hAnsi="Times New Roman" w:cs="Times New Roman"/>
          <w:sz w:val="21"/>
          <w:szCs w:val="21"/>
          <w:highlight w:val="none"/>
        </w:rPr>
        <w:t>mg/L×10</w:t>
      </w:r>
      <w:r>
        <w:rPr>
          <w:rFonts w:hint="default" w:ascii="Times New Roman" w:hAnsi="Times New Roman" w:cs="Times New Roman"/>
          <w:sz w:val="21"/>
          <w:szCs w:val="21"/>
          <w:highlight w:val="none"/>
          <w:vertAlign w:val="superscript"/>
        </w:rPr>
        <w:t>-6</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en-US" w:eastAsia="zh-CN"/>
        </w:rPr>
        <w:t>0.0031</w:t>
      </w:r>
      <w:r>
        <w:rPr>
          <w:rFonts w:hint="default" w:ascii="Times New Roman" w:hAnsi="Times New Roman" w:cs="Times New Roman"/>
          <w:sz w:val="21"/>
          <w:szCs w:val="21"/>
          <w:highlight w:val="none"/>
        </w:rPr>
        <w:t>t/a</w:t>
      </w:r>
    </w:p>
    <w:p w14:paraId="3E311295">
      <w:pPr>
        <w:rPr>
          <w:rFonts w:hint="default" w:ascii="Times New Roman" w:hAnsi="Times New Roman" w:cs="Times New Roman"/>
          <w:color w:val="auto"/>
          <w:highlight w:val="none"/>
        </w:rPr>
      </w:pPr>
    </w:p>
    <w:p w14:paraId="04556081">
      <w:pPr>
        <w:pStyle w:val="11"/>
        <w:ind w:firstLine="0" w:firstLineChars="0"/>
        <w:rPr>
          <w:rFonts w:hint="default" w:ascii="Times New Roman" w:hAnsi="Times New Roman" w:cs="Times New Roman"/>
          <w:color w:val="auto"/>
          <w:highlight w:val="none"/>
        </w:rPr>
      </w:pPr>
    </w:p>
    <w:p w14:paraId="608DAC68">
      <w:pPr>
        <w:rPr>
          <w:rFonts w:hint="default" w:ascii="Times New Roman" w:hAnsi="Times New Roman" w:cs="Times New Roman"/>
          <w:highlight w:val="none"/>
        </w:rPr>
      </w:pPr>
    </w:p>
    <w:p w14:paraId="2B93ECB6">
      <w:pPr>
        <w:tabs>
          <w:tab w:val="left" w:pos="6321"/>
        </w:tabs>
        <w:bidi w:val="0"/>
        <w:jc w:val="left"/>
        <w:rPr>
          <w:rFonts w:hint="default" w:ascii="Times New Roman" w:hAnsi="Times New Roman" w:eastAsia="宋体" w:cs="Times New Roman"/>
          <w:kern w:val="2"/>
          <w:sz w:val="21"/>
          <w:szCs w:val="24"/>
          <w:highlight w:val="none"/>
          <w:lang w:val="en-US" w:eastAsia="zh-CN" w:bidi="ar-SA"/>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kern w:val="2"/>
          <w:sz w:val="21"/>
          <w:szCs w:val="24"/>
          <w:highlight w:val="none"/>
          <w:lang w:val="en-US" w:eastAsia="zh-CN" w:bidi="ar-SA"/>
        </w:rPr>
        <w:tab/>
      </w:r>
    </w:p>
    <w:p w14:paraId="4A000686">
      <w:pPr>
        <w:pStyle w:val="2"/>
        <w:bidi w:val="0"/>
        <w:jc w:val="center"/>
        <w:rPr>
          <w:rFonts w:hint="default" w:ascii="Times New Roman" w:hAnsi="Times New Roman" w:cs="Times New Roman"/>
          <w:highlight w:val="none"/>
          <w:lang w:eastAsia="zh-CN"/>
        </w:rPr>
      </w:pPr>
      <w:bookmarkStart w:id="20" w:name="_Toc212"/>
      <w:bookmarkStart w:id="21" w:name="_Toc1271"/>
      <w:r>
        <w:rPr>
          <w:rFonts w:hint="default" w:ascii="Times New Roman" w:hAnsi="Times New Roman" w:cs="Times New Roman"/>
          <w:highlight w:val="none"/>
        </w:rPr>
        <w:t>附件</w:t>
      </w:r>
      <w:r>
        <w:rPr>
          <w:rFonts w:hint="default" w:ascii="Times New Roman" w:hAnsi="Times New Roman" w:cs="Times New Roman"/>
          <w:highlight w:val="none"/>
          <w:lang w:val="en-US" w:eastAsia="zh-CN"/>
        </w:rPr>
        <w:t>5 类比项目</w:t>
      </w:r>
      <w:r>
        <w:rPr>
          <w:rFonts w:hint="default" w:ascii="Times New Roman" w:hAnsi="Times New Roman" w:cs="Times New Roman"/>
          <w:highlight w:val="none"/>
          <w:lang w:eastAsia="zh-CN"/>
        </w:rPr>
        <w:t>验收专家意见</w:t>
      </w:r>
      <w:bookmarkEnd w:id="20"/>
    </w:p>
    <w:p w14:paraId="2BB3C583">
      <w:pPr>
        <w:pStyle w:val="7"/>
        <w:rPr>
          <w:rFonts w:hint="default" w:ascii="Times New Roman" w:hAnsi="Times New Roman" w:cs="Times New Roman"/>
          <w:b/>
          <w:bCs/>
          <w:color w:val="000000"/>
          <w:highlight w:val="none"/>
        </w:rPr>
      </w:pPr>
      <w:r>
        <w:rPr>
          <w:rFonts w:hint="default" w:ascii="Times New Roman" w:hAnsi="Times New Roman" w:cs="Times New Roman"/>
          <w:highlight w:val="none"/>
        </w:rPr>
        <w:drawing>
          <wp:inline distT="0" distB="0" distL="114300" distR="114300">
            <wp:extent cx="6029325" cy="7791450"/>
            <wp:effectExtent l="0" t="0" r="9525" b="0"/>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43"/>
                    <a:stretch>
                      <a:fillRect/>
                    </a:stretch>
                  </pic:blipFill>
                  <pic:spPr>
                    <a:xfrm>
                      <a:off x="0" y="0"/>
                      <a:ext cx="6029325" cy="7791450"/>
                    </a:xfrm>
                    <a:prstGeom prst="rect">
                      <a:avLst/>
                    </a:prstGeom>
                    <a:noFill/>
                    <a:ln>
                      <a:noFill/>
                    </a:ln>
                  </pic:spPr>
                </pic:pic>
              </a:graphicData>
            </a:graphic>
          </wp:inline>
        </w:drawing>
      </w:r>
    </w:p>
    <w:p w14:paraId="00D33778">
      <w:pPr>
        <w:pStyle w:val="7"/>
        <w:rPr>
          <w:rFonts w:hint="default" w:ascii="Times New Roman" w:hAnsi="Times New Roman" w:cs="Times New Roman"/>
          <w:b/>
          <w:bCs/>
          <w:color w:val="000000"/>
          <w:highlight w:val="none"/>
        </w:rPr>
      </w:pPr>
    </w:p>
    <w:p w14:paraId="694B0ED5">
      <w:pPr>
        <w:pStyle w:val="7"/>
        <w:tabs>
          <w:tab w:val="left" w:pos="7560"/>
        </w:tabs>
        <w:rPr>
          <w:rFonts w:hint="default" w:ascii="Times New Roman" w:hAnsi="Times New Roman" w:cs="Times New Roman"/>
          <w:b/>
          <w:bCs/>
          <w:color w:val="000000"/>
          <w:highlight w:val="none"/>
        </w:rPr>
      </w:pPr>
    </w:p>
    <w:p w14:paraId="77DB4440">
      <w:pPr>
        <w:pStyle w:val="7"/>
        <w:rPr>
          <w:rFonts w:hint="default" w:ascii="Times New Roman" w:hAnsi="Times New Roman" w:cs="Times New Roman"/>
          <w:b/>
          <w:bCs/>
          <w:color w:val="000000"/>
          <w:highlight w:val="none"/>
        </w:rPr>
      </w:pPr>
      <w:r>
        <w:rPr>
          <w:rFonts w:hint="default" w:ascii="Times New Roman" w:hAnsi="Times New Roman" w:cs="Times New Roman"/>
          <w:highlight w:val="none"/>
        </w:rPr>
        <w:drawing>
          <wp:inline distT="0" distB="0" distL="114300" distR="114300">
            <wp:extent cx="5654040" cy="7177405"/>
            <wp:effectExtent l="0" t="0" r="3810" b="4445"/>
            <wp:docPr id="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pic:cNvPicPr>
                      <a:picLocks noChangeAspect="1"/>
                    </pic:cNvPicPr>
                  </pic:nvPicPr>
                  <pic:blipFill>
                    <a:blip r:embed="rId44"/>
                    <a:stretch>
                      <a:fillRect/>
                    </a:stretch>
                  </pic:blipFill>
                  <pic:spPr>
                    <a:xfrm>
                      <a:off x="0" y="0"/>
                      <a:ext cx="5654040" cy="7177405"/>
                    </a:xfrm>
                    <a:prstGeom prst="rect">
                      <a:avLst/>
                    </a:prstGeom>
                    <a:noFill/>
                    <a:ln>
                      <a:noFill/>
                    </a:ln>
                  </pic:spPr>
                </pic:pic>
              </a:graphicData>
            </a:graphic>
          </wp:inline>
        </w:drawing>
      </w:r>
    </w:p>
    <w:p w14:paraId="46F455CF">
      <w:pPr>
        <w:pStyle w:val="7"/>
        <w:rPr>
          <w:rFonts w:hint="default" w:ascii="Times New Roman" w:hAnsi="Times New Roman" w:cs="Times New Roman"/>
          <w:b/>
          <w:bCs/>
          <w:color w:val="000000"/>
          <w:highlight w:val="none"/>
        </w:rPr>
      </w:pPr>
    </w:p>
    <w:p w14:paraId="41158B3B">
      <w:pPr>
        <w:pStyle w:val="7"/>
        <w:rPr>
          <w:rFonts w:hint="default" w:ascii="Times New Roman" w:hAnsi="Times New Roman" w:cs="Times New Roman"/>
          <w:b/>
          <w:bCs/>
          <w:color w:val="000000"/>
          <w:highlight w:val="none"/>
        </w:rPr>
      </w:pPr>
    </w:p>
    <w:p w14:paraId="2BFE2E7F">
      <w:pPr>
        <w:pStyle w:val="7"/>
        <w:rPr>
          <w:rFonts w:hint="default" w:ascii="Times New Roman" w:hAnsi="Times New Roman" w:cs="Times New Roman"/>
          <w:b/>
          <w:bCs/>
          <w:color w:val="000000"/>
          <w:highlight w:val="none"/>
        </w:rPr>
      </w:pPr>
      <w:r>
        <w:rPr>
          <w:rFonts w:hint="default" w:ascii="Times New Roman" w:hAnsi="Times New Roman" w:cs="Times New Roman"/>
          <w:highlight w:val="none"/>
        </w:rPr>
        <w:drawing>
          <wp:inline distT="0" distB="0" distL="114300" distR="114300">
            <wp:extent cx="5615940" cy="7152005"/>
            <wp:effectExtent l="0" t="0" r="3810" b="10795"/>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pic:cNvPicPr>
                      <a:picLocks noChangeAspect="1"/>
                    </pic:cNvPicPr>
                  </pic:nvPicPr>
                  <pic:blipFill>
                    <a:blip r:embed="rId45"/>
                    <a:stretch>
                      <a:fillRect/>
                    </a:stretch>
                  </pic:blipFill>
                  <pic:spPr>
                    <a:xfrm>
                      <a:off x="0" y="0"/>
                      <a:ext cx="5615940" cy="7152005"/>
                    </a:xfrm>
                    <a:prstGeom prst="rect">
                      <a:avLst/>
                    </a:prstGeom>
                    <a:noFill/>
                    <a:ln>
                      <a:noFill/>
                    </a:ln>
                  </pic:spPr>
                </pic:pic>
              </a:graphicData>
            </a:graphic>
          </wp:inline>
        </w:drawing>
      </w:r>
    </w:p>
    <w:p w14:paraId="23643982">
      <w:pPr>
        <w:pStyle w:val="7"/>
        <w:rPr>
          <w:rFonts w:hint="default" w:ascii="Times New Roman" w:hAnsi="Times New Roman" w:cs="Times New Roman"/>
          <w:b/>
          <w:bCs/>
          <w:color w:val="000000"/>
          <w:highlight w:val="none"/>
        </w:rPr>
      </w:pPr>
    </w:p>
    <w:p w14:paraId="6647F978">
      <w:pPr>
        <w:pStyle w:val="7"/>
        <w:rPr>
          <w:rFonts w:hint="default" w:ascii="Times New Roman" w:hAnsi="Times New Roman" w:cs="Times New Roman"/>
          <w:b/>
          <w:bCs/>
          <w:color w:val="000000"/>
          <w:highlight w:val="none"/>
        </w:rPr>
      </w:pPr>
      <w:r>
        <w:rPr>
          <w:rFonts w:hint="default" w:ascii="Times New Roman" w:hAnsi="Times New Roman" w:cs="Times New Roman"/>
          <w:highlight w:val="none"/>
        </w:rPr>
        <w:drawing>
          <wp:inline distT="0" distB="0" distL="114300" distR="114300">
            <wp:extent cx="5610225" cy="7618095"/>
            <wp:effectExtent l="0" t="0" r="9525" b="1905"/>
            <wp:docPr id="2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pic:cNvPicPr>
                      <a:picLocks noChangeAspect="1"/>
                    </pic:cNvPicPr>
                  </pic:nvPicPr>
                  <pic:blipFill>
                    <a:blip r:embed="rId46"/>
                    <a:stretch>
                      <a:fillRect/>
                    </a:stretch>
                  </pic:blipFill>
                  <pic:spPr>
                    <a:xfrm>
                      <a:off x="0" y="0"/>
                      <a:ext cx="5610225" cy="7618095"/>
                    </a:xfrm>
                    <a:prstGeom prst="rect">
                      <a:avLst/>
                    </a:prstGeom>
                    <a:noFill/>
                    <a:ln>
                      <a:noFill/>
                    </a:ln>
                  </pic:spPr>
                </pic:pic>
              </a:graphicData>
            </a:graphic>
          </wp:inline>
        </w:drawing>
      </w:r>
    </w:p>
    <w:p w14:paraId="38358C24">
      <w:pPr>
        <w:pStyle w:val="7"/>
        <w:rPr>
          <w:rFonts w:hint="default" w:ascii="Times New Roman" w:hAnsi="Times New Roman" w:cs="Times New Roman"/>
          <w:b/>
          <w:bCs/>
          <w:color w:val="000000"/>
          <w:highlight w:val="none"/>
        </w:rPr>
      </w:pPr>
    </w:p>
    <w:p w14:paraId="0A9DC444">
      <w:pPr>
        <w:pStyle w:val="7"/>
        <w:rPr>
          <w:rFonts w:hint="default" w:ascii="Times New Roman" w:hAnsi="Times New Roman" w:cs="Times New Roman"/>
          <w:b/>
          <w:bCs/>
          <w:color w:val="000000"/>
          <w:highlight w:val="none"/>
        </w:rPr>
      </w:pPr>
    </w:p>
    <w:p w14:paraId="6C24170E">
      <w:pPr>
        <w:pStyle w:val="7"/>
        <w:rPr>
          <w:rFonts w:hint="default" w:ascii="Times New Roman" w:hAnsi="Times New Roman" w:cs="Times New Roman"/>
          <w:b/>
          <w:bCs/>
          <w:color w:val="000000"/>
          <w:highlight w:val="none"/>
        </w:rPr>
      </w:pPr>
    </w:p>
    <w:p w14:paraId="65C8030C">
      <w:pPr>
        <w:pStyle w:val="7"/>
        <w:rPr>
          <w:rFonts w:hint="default" w:ascii="Times New Roman" w:hAnsi="Times New Roman" w:cs="Times New Roman"/>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highlight w:val="none"/>
        </w:rPr>
        <w:drawing>
          <wp:inline distT="0" distB="0" distL="114300" distR="114300">
            <wp:extent cx="5610860" cy="7685405"/>
            <wp:effectExtent l="0" t="0" r="8890" b="10795"/>
            <wp:docPr id="2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0"/>
                    <pic:cNvPicPr>
                      <a:picLocks noChangeAspect="1"/>
                    </pic:cNvPicPr>
                  </pic:nvPicPr>
                  <pic:blipFill>
                    <a:blip r:embed="rId47"/>
                    <a:stretch>
                      <a:fillRect/>
                    </a:stretch>
                  </pic:blipFill>
                  <pic:spPr>
                    <a:xfrm>
                      <a:off x="0" y="0"/>
                      <a:ext cx="5610860" cy="7685405"/>
                    </a:xfrm>
                    <a:prstGeom prst="rect">
                      <a:avLst/>
                    </a:prstGeom>
                    <a:noFill/>
                    <a:ln>
                      <a:noFill/>
                    </a:ln>
                  </pic:spPr>
                </pic:pic>
              </a:graphicData>
            </a:graphic>
          </wp:inline>
        </w:drawing>
      </w:r>
    </w:p>
    <w:p w14:paraId="59D40706">
      <w:pPr>
        <w:pStyle w:val="2"/>
        <w:bidi w:val="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附件</w:t>
      </w:r>
      <w:bookmarkEnd w:id="21"/>
      <w:r>
        <w:rPr>
          <w:rFonts w:hint="default" w:ascii="Times New Roman" w:hAnsi="Times New Roman" w:cs="Times New Roman"/>
          <w:highlight w:val="none"/>
          <w:lang w:val="en-US" w:eastAsia="zh-CN"/>
        </w:rPr>
        <w:t>6土地证</w:t>
      </w:r>
    </w:p>
    <w:p w14:paraId="3722AD69">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8073390" cy="5647055"/>
            <wp:effectExtent l="0" t="0" r="10795" b="3810"/>
            <wp:docPr id="22" name="图片 31" descr="83b741dfeeaa9d961bfee4411834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83b741dfeeaa9d961bfee4411834cab"/>
                    <pic:cNvPicPr>
                      <a:picLocks noChangeAspect="1"/>
                    </pic:cNvPicPr>
                  </pic:nvPicPr>
                  <pic:blipFill>
                    <a:blip r:embed="rId48"/>
                    <a:srcRect b="38855"/>
                    <a:stretch>
                      <a:fillRect/>
                    </a:stretch>
                  </pic:blipFill>
                  <pic:spPr>
                    <a:xfrm rot="-5400000">
                      <a:off x="0" y="0"/>
                      <a:ext cx="8073390" cy="5647055"/>
                    </a:xfrm>
                    <a:prstGeom prst="rect">
                      <a:avLst/>
                    </a:prstGeom>
                    <a:noFill/>
                    <a:ln>
                      <a:noFill/>
                    </a:ln>
                  </pic:spPr>
                </pic:pic>
              </a:graphicData>
            </a:graphic>
          </wp:inline>
        </w:drawing>
      </w:r>
      <w:r>
        <w:rPr>
          <w:rFonts w:hint="default" w:ascii="Times New Roman" w:hAnsi="Times New Roman" w:cs="Times New Roman"/>
          <w:highlight w:val="none"/>
          <w:lang w:val="en-US" w:eastAsia="zh-CN"/>
        </w:rPr>
        <w:drawing>
          <wp:inline distT="0" distB="0" distL="114300" distR="114300">
            <wp:extent cx="8531860" cy="5620385"/>
            <wp:effectExtent l="0" t="0" r="18415" b="2540"/>
            <wp:docPr id="23" name="图片 32" descr="cdc31426f4059f47e76826ee68c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cdc31426f4059f47e76826ee68c7343"/>
                    <pic:cNvPicPr>
                      <a:picLocks noChangeAspect="1"/>
                    </pic:cNvPicPr>
                  </pic:nvPicPr>
                  <pic:blipFill>
                    <a:blip r:embed="rId49"/>
                    <a:stretch>
                      <a:fillRect/>
                    </a:stretch>
                  </pic:blipFill>
                  <pic:spPr>
                    <a:xfrm rot="-5400000">
                      <a:off x="0" y="0"/>
                      <a:ext cx="8531860" cy="5620385"/>
                    </a:xfrm>
                    <a:prstGeom prst="rect">
                      <a:avLst/>
                    </a:prstGeom>
                    <a:noFill/>
                    <a:ln>
                      <a:noFill/>
                    </a:ln>
                  </pic:spPr>
                </pic:pic>
              </a:graphicData>
            </a:graphic>
          </wp:inline>
        </w:drawing>
      </w:r>
      <w:r>
        <w:rPr>
          <w:rFonts w:hint="default" w:ascii="Times New Roman" w:hAnsi="Times New Roman" w:cs="Times New Roman"/>
          <w:highlight w:val="none"/>
          <w:lang w:val="en-US" w:eastAsia="zh-CN"/>
        </w:rPr>
        <w:drawing>
          <wp:inline distT="0" distB="0" distL="114300" distR="114300">
            <wp:extent cx="5643880" cy="8160385"/>
            <wp:effectExtent l="0" t="0" r="13970" b="12065"/>
            <wp:docPr id="24" name="图片 33" descr="a0c31a13b989ecf0413859fe9cab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descr="a0c31a13b989ecf0413859fe9cabb72"/>
                    <pic:cNvPicPr>
                      <a:picLocks noChangeAspect="1"/>
                    </pic:cNvPicPr>
                  </pic:nvPicPr>
                  <pic:blipFill>
                    <a:blip r:embed="rId50"/>
                    <a:srcRect r="43825"/>
                    <a:stretch>
                      <a:fillRect/>
                    </a:stretch>
                  </pic:blipFill>
                  <pic:spPr>
                    <a:xfrm>
                      <a:off x="0" y="0"/>
                      <a:ext cx="5643880" cy="8160385"/>
                    </a:xfrm>
                    <a:prstGeom prst="rect">
                      <a:avLst/>
                    </a:prstGeom>
                    <a:noFill/>
                    <a:ln>
                      <a:noFill/>
                    </a:ln>
                  </pic:spPr>
                </pic:pic>
              </a:graphicData>
            </a:graphic>
          </wp:inline>
        </w:drawing>
      </w:r>
      <w:r>
        <w:rPr>
          <w:rFonts w:hint="default" w:ascii="Times New Roman" w:hAnsi="Times New Roman" w:cs="Times New Roman"/>
          <w:highlight w:val="none"/>
          <w:lang w:val="en-US" w:eastAsia="zh-CN"/>
        </w:rPr>
        <w:drawing>
          <wp:inline distT="0" distB="0" distL="114300" distR="114300">
            <wp:extent cx="8188325" cy="5621020"/>
            <wp:effectExtent l="0" t="0" r="17780" b="3175"/>
            <wp:docPr id="25" name="图片 34" descr="0b84b44bd270d1cba0df86e0aee9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descr="0b84b44bd270d1cba0df86e0aee97e3"/>
                    <pic:cNvPicPr>
                      <a:picLocks noChangeAspect="1"/>
                    </pic:cNvPicPr>
                  </pic:nvPicPr>
                  <pic:blipFill>
                    <a:blip r:embed="rId51"/>
                    <a:stretch>
                      <a:fillRect/>
                    </a:stretch>
                  </pic:blipFill>
                  <pic:spPr>
                    <a:xfrm rot="-5400000">
                      <a:off x="0" y="0"/>
                      <a:ext cx="8188325" cy="5621020"/>
                    </a:xfrm>
                    <a:prstGeom prst="rect">
                      <a:avLst/>
                    </a:prstGeom>
                    <a:noFill/>
                    <a:ln>
                      <a:noFill/>
                    </a:ln>
                  </pic:spPr>
                </pic:pic>
              </a:graphicData>
            </a:graphic>
          </wp:inline>
        </w:drawing>
      </w:r>
    </w:p>
    <w:p w14:paraId="296B259D">
      <w:pPr>
        <w:rPr>
          <w:rFonts w:hint="default" w:ascii="Times New Roman" w:hAnsi="Times New Roman" w:cs="Times New Roman"/>
          <w:highlight w:val="none"/>
          <w:lang w:val="en-US" w:eastAsia="zh-CN"/>
        </w:rPr>
      </w:pPr>
    </w:p>
    <w:p w14:paraId="5CE53D42">
      <w:pPr>
        <w:rPr>
          <w:rFonts w:hint="default" w:ascii="Times New Roman" w:hAnsi="Times New Roman" w:cs="Times New Roman"/>
          <w:highlight w:val="none"/>
          <w:lang w:val="en-US" w:eastAsia="zh-CN"/>
        </w:rPr>
      </w:pPr>
    </w:p>
    <w:p w14:paraId="048640E9">
      <w:pPr>
        <w:pStyle w:val="2"/>
        <w:bidi w:val="0"/>
        <w:jc w:val="center"/>
        <w:rPr>
          <w:rFonts w:hint="default" w:ascii="Times New Roman" w:hAnsi="Times New Roman" w:cs="Times New Roman"/>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67D7D30">
      <w:pPr>
        <w:pStyle w:val="2"/>
        <w:bidi w:val="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附件</w:t>
      </w:r>
      <w:r>
        <w:rPr>
          <w:rFonts w:hint="default" w:ascii="Times New Roman" w:hAnsi="Times New Roman" w:cs="Times New Roman"/>
          <w:highlight w:val="none"/>
          <w:lang w:val="en-US" w:eastAsia="zh-CN"/>
        </w:rPr>
        <w:t>7租赁协议</w:t>
      </w:r>
    </w:p>
    <w:p w14:paraId="472F1CBE">
      <w:pPr>
        <w:pStyle w:val="2"/>
        <w:bidi w:val="0"/>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603875" cy="7882255"/>
            <wp:effectExtent l="0" t="0" r="15875" b="4445"/>
            <wp:docPr id="6" name="图片 6" descr="ba13a874cbddd714afc661b9acdb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a13a874cbddd714afc661b9acdbe45"/>
                    <pic:cNvPicPr>
                      <a:picLocks noChangeAspect="1"/>
                    </pic:cNvPicPr>
                  </pic:nvPicPr>
                  <pic:blipFill>
                    <a:blip r:embed="rId52"/>
                    <a:stretch>
                      <a:fillRect/>
                    </a:stretch>
                  </pic:blipFill>
                  <pic:spPr>
                    <a:xfrm>
                      <a:off x="0" y="0"/>
                      <a:ext cx="5603875" cy="7882255"/>
                    </a:xfrm>
                    <a:prstGeom prst="rect">
                      <a:avLst/>
                    </a:prstGeom>
                  </pic:spPr>
                </pic:pic>
              </a:graphicData>
            </a:graphic>
          </wp:inline>
        </w:drawing>
      </w:r>
      <w:r>
        <w:rPr>
          <w:rFonts w:hint="default" w:ascii="Times New Roman" w:hAnsi="Times New Roman" w:cs="Times New Roman"/>
          <w:highlight w:val="none"/>
          <w:lang w:val="en-US" w:eastAsia="zh-CN"/>
        </w:rPr>
        <w:br w:type="page"/>
      </w:r>
      <w:r>
        <w:rPr>
          <w:rFonts w:hint="default" w:ascii="Times New Roman" w:hAnsi="Times New Roman" w:cs="Times New Roman"/>
          <w:highlight w:val="none"/>
          <w:lang w:eastAsia="zh-CN"/>
        </w:rPr>
        <w:t>附件</w:t>
      </w:r>
      <w:r>
        <w:rPr>
          <w:rFonts w:hint="default" w:ascii="Times New Roman" w:hAnsi="Times New Roman" w:cs="Times New Roman"/>
          <w:highlight w:val="none"/>
          <w:lang w:val="en-US" w:eastAsia="zh-CN"/>
        </w:rPr>
        <w:t>8检测报告</w:t>
      </w:r>
    </w:p>
    <w:p w14:paraId="31F081E7">
      <w:pPr>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577840" cy="8142605"/>
            <wp:effectExtent l="0" t="0" r="3810" b="10795"/>
            <wp:docPr id="27" name="图片 36" descr="b536f9d608e3b3049c04160517b4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b536f9d608e3b3049c04160517b4e42"/>
                    <pic:cNvPicPr>
                      <a:picLocks noChangeAspect="1"/>
                    </pic:cNvPicPr>
                  </pic:nvPicPr>
                  <pic:blipFill>
                    <a:blip r:embed="rId53"/>
                    <a:stretch>
                      <a:fillRect/>
                    </a:stretch>
                  </pic:blipFill>
                  <pic:spPr>
                    <a:xfrm>
                      <a:off x="0" y="0"/>
                      <a:ext cx="5577840" cy="8142605"/>
                    </a:xfrm>
                    <a:prstGeom prst="rect">
                      <a:avLst/>
                    </a:prstGeom>
                    <a:noFill/>
                    <a:ln>
                      <a:noFill/>
                    </a:ln>
                  </pic:spPr>
                </pic:pic>
              </a:graphicData>
            </a:graphic>
          </wp:inline>
        </w:drawing>
      </w:r>
      <w:r>
        <w:rPr>
          <w:rFonts w:hint="default" w:ascii="Times New Roman" w:hAnsi="Times New Roman" w:cs="Times New Roman"/>
          <w:highlight w:val="none"/>
          <w:lang w:val="en-US" w:eastAsia="zh-CN"/>
        </w:rPr>
        <w:drawing>
          <wp:inline distT="0" distB="0" distL="114300" distR="114300">
            <wp:extent cx="5603875" cy="8412480"/>
            <wp:effectExtent l="0" t="0" r="15875" b="7620"/>
            <wp:docPr id="28" name="图片 37" descr="8858ef7a16fb1894df5063f50598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7" descr="8858ef7a16fb1894df5063f505987fb"/>
                    <pic:cNvPicPr>
                      <a:picLocks noChangeAspect="1"/>
                    </pic:cNvPicPr>
                  </pic:nvPicPr>
                  <pic:blipFill>
                    <a:blip r:embed="rId54"/>
                    <a:stretch>
                      <a:fillRect/>
                    </a:stretch>
                  </pic:blipFill>
                  <pic:spPr>
                    <a:xfrm>
                      <a:off x="0" y="0"/>
                      <a:ext cx="5603875" cy="8412480"/>
                    </a:xfrm>
                    <a:prstGeom prst="rect">
                      <a:avLst/>
                    </a:prstGeom>
                    <a:noFill/>
                    <a:ln>
                      <a:noFill/>
                    </a:ln>
                  </pic:spPr>
                </pic:pic>
              </a:graphicData>
            </a:graphic>
          </wp:inline>
        </w:drawing>
      </w:r>
      <w:r>
        <w:rPr>
          <w:rFonts w:hint="default" w:ascii="Times New Roman" w:hAnsi="Times New Roman" w:cs="Times New Roman"/>
          <w:highlight w:val="none"/>
          <w:lang w:val="en-US" w:eastAsia="zh-CN"/>
        </w:rPr>
        <w:drawing>
          <wp:inline distT="0" distB="0" distL="114300" distR="114300">
            <wp:extent cx="5608320" cy="8530590"/>
            <wp:effectExtent l="0" t="0" r="11430" b="3810"/>
            <wp:docPr id="29" name="图片 38" descr="cb1228e6f435a95838bfc4cbe8dd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8" descr="cb1228e6f435a95838bfc4cbe8dd882"/>
                    <pic:cNvPicPr>
                      <a:picLocks noChangeAspect="1"/>
                    </pic:cNvPicPr>
                  </pic:nvPicPr>
                  <pic:blipFill>
                    <a:blip r:embed="rId55"/>
                    <a:stretch>
                      <a:fillRect/>
                    </a:stretch>
                  </pic:blipFill>
                  <pic:spPr>
                    <a:xfrm>
                      <a:off x="0" y="0"/>
                      <a:ext cx="5608320" cy="8530590"/>
                    </a:xfrm>
                    <a:prstGeom prst="rect">
                      <a:avLst/>
                    </a:prstGeom>
                    <a:noFill/>
                    <a:ln>
                      <a:noFill/>
                    </a:ln>
                  </pic:spPr>
                </pic:pic>
              </a:graphicData>
            </a:graphic>
          </wp:inline>
        </w:drawing>
      </w:r>
      <w:r>
        <w:rPr>
          <w:rFonts w:hint="default" w:ascii="Times New Roman" w:hAnsi="Times New Roman" w:cs="Times New Roman"/>
          <w:highlight w:val="none"/>
          <w:lang w:val="en-US" w:eastAsia="zh-CN"/>
        </w:rPr>
        <w:drawing>
          <wp:inline distT="0" distB="0" distL="114300" distR="114300">
            <wp:extent cx="5608320" cy="8382000"/>
            <wp:effectExtent l="0" t="0" r="11430" b="0"/>
            <wp:docPr id="30" name="图片 39" descr="38319d107cb3273b71f536e7da3f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descr="38319d107cb3273b71f536e7da3f3f6"/>
                    <pic:cNvPicPr>
                      <a:picLocks noChangeAspect="1"/>
                    </pic:cNvPicPr>
                  </pic:nvPicPr>
                  <pic:blipFill>
                    <a:blip r:embed="rId56"/>
                    <a:stretch>
                      <a:fillRect/>
                    </a:stretch>
                  </pic:blipFill>
                  <pic:spPr>
                    <a:xfrm>
                      <a:off x="0" y="0"/>
                      <a:ext cx="5608320" cy="8382000"/>
                    </a:xfrm>
                    <a:prstGeom prst="rect">
                      <a:avLst/>
                    </a:prstGeom>
                    <a:noFill/>
                    <a:ln>
                      <a:noFill/>
                    </a:ln>
                  </pic:spPr>
                </pic:pic>
              </a:graphicData>
            </a:graphic>
          </wp:inline>
        </w:drawing>
      </w:r>
    </w:p>
    <w:p w14:paraId="6440ECBA">
      <w:pP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p>
    <w:p w14:paraId="4AA54803">
      <w:pPr>
        <w:pStyle w:val="2"/>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附件</w:t>
      </w:r>
      <w:r>
        <w:rPr>
          <w:rFonts w:hint="eastAsia" w:cs="Times New Roman"/>
          <w:highlight w:val="none"/>
          <w:lang w:val="en-US" w:eastAsia="zh-CN"/>
        </w:rPr>
        <w:t>9</w:t>
      </w:r>
      <w:r>
        <w:rPr>
          <w:rFonts w:hint="default" w:ascii="Times New Roman" w:hAnsi="Times New Roman" w:cs="Times New Roman"/>
          <w:highlight w:val="none"/>
          <w:lang w:val="en-US" w:eastAsia="zh-CN"/>
        </w:rPr>
        <w:t>废水处置协议</w:t>
      </w:r>
    </w:p>
    <w:p w14:paraId="44BDC894">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603875" cy="8105775"/>
            <wp:effectExtent l="0" t="0" r="15875" b="9525"/>
            <wp:docPr id="26" name="图片 26" descr="c73e9e079a8ff3c35e5292ae8140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73e9e079a8ff3c35e5292ae814080a"/>
                    <pic:cNvPicPr>
                      <a:picLocks noChangeAspect="1"/>
                    </pic:cNvPicPr>
                  </pic:nvPicPr>
                  <pic:blipFill>
                    <a:blip r:embed="rId57"/>
                    <a:stretch>
                      <a:fillRect/>
                    </a:stretch>
                  </pic:blipFill>
                  <pic:spPr>
                    <a:xfrm>
                      <a:off x="0" y="0"/>
                      <a:ext cx="5603875" cy="8105775"/>
                    </a:xfrm>
                    <a:prstGeom prst="rect">
                      <a:avLst/>
                    </a:prstGeom>
                  </pic:spPr>
                </pic:pic>
              </a:graphicData>
            </a:graphic>
          </wp:inline>
        </w:drawing>
      </w:r>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B0516F-94BB-47F1-81BE-B71D70AA81F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F07A5983-D58F-46A9-AFAF-0F447D3456C4}"/>
  </w:font>
  <w:font w:name="方正小标宋_GBK">
    <w:panose1 w:val="02000000000000000000"/>
    <w:charset w:val="86"/>
    <w:family w:val="script"/>
    <w:pitch w:val="default"/>
    <w:sig w:usb0="00000001" w:usb1="080E0000" w:usb2="00000000" w:usb3="00000000" w:csb0="00040000" w:csb1="00000000"/>
    <w:embedRegular r:id="rId3" w:fontKey="{0AD87FA1-E8A4-4B5C-85DC-CEBBABF79788}"/>
  </w:font>
  <w:font w:name="楷体_GB2312">
    <w:panose1 w:val="02010609030101010101"/>
    <w:charset w:val="86"/>
    <w:family w:val="modern"/>
    <w:pitch w:val="default"/>
    <w:sig w:usb0="00000001" w:usb1="080E0000" w:usb2="00000000" w:usb3="00000000" w:csb0="00040000" w:csb1="00000000"/>
    <w:embedRegular r:id="rId4" w:fontKey="{DD9B7638-AC6C-4101-8CAE-8E7269779BE5}"/>
  </w:font>
  <w:font w:name="仿宋">
    <w:panose1 w:val="02010609060101010101"/>
    <w:charset w:val="86"/>
    <w:family w:val="auto"/>
    <w:pitch w:val="default"/>
    <w:sig w:usb0="800002BF" w:usb1="38CF7CFA" w:usb2="00000016" w:usb3="00000000" w:csb0="00040001" w:csb1="00000000"/>
    <w:embedRegular r:id="rId5" w:fontKey="{76FE3347-31B9-4987-BBA4-D5CA30EE4D70}"/>
  </w:font>
  <w:font w:name="Wingdings 2">
    <w:panose1 w:val="05020102010507070707"/>
    <w:charset w:val="02"/>
    <w:family w:val="auto"/>
    <w:pitch w:val="default"/>
    <w:sig w:usb0="00000000" w:usb1="00000000" w:usb2="00000000" w:usb3="00000000" w:csb0="80000000" w:csb1="00000000"/>
    <w:embedRegular r:id="rId6" w:fontKey="{43836F5A-8C2D-477E-BA65-F0529D6EC0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2CB93">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AD953">
    <w:pPr>
      <w:tabs>
        <w:tab w:val="center" w:pos="4153"/>
        <w:tab w:val="right" w:pos="8306"/>
      </w:tabs>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2F0FD2">
                          <w:pPr>
                            <w:tabs>
                              <w:tab w:val="center" w:pos="4153"/>
                              <w:tab w:val="right" w:pos="8306"/>
                            </w:tabs>
                            <w:rPr>
                              <w:rFonts w:ascii="宋体" w:hAnsi="宋体"/>
                              <w:sz w:val="18"/>
                              <w:szCs w:val="18"/>
                            </w:rPr>
                          </w:pPr>
                          <w:r>
                            <w:rPr>
                              <w:rFonts w:hint="eastAsia" w:ascii="宋体" w:hAnsi="宋体"/>
                              <w:sz w:val="18"/>
                              <w:szCs w:val="18"/>
                            </w:rPr>
                            <w:t xml:space="preserve">—  </w:t>
                          </w:r>
                          <w:r>
                            <w:rPr>
                              <w:rFonts w:ascii="宋体" w:hAnsi="宋体"/>
                              <w:sz w:val="18"/>
                              <w:szCs w:val="18"/>
                            </w:rPr>
                            <w:fldChar w:fldCharType="begin"/>
                          </w:r>
                          <w:r>
                            <w:rPr>
                              <w:rFonts w:ascii="宋体" w:hAnsi="宋体"/>
                              <w:sz w:val="18"/>
                              <w:szCs w:val="18"/>
                            </w:rPr>
                            <w:instrText xml:space="preserve">PAGE  </w:instrText>
                          </w:r>
                          <w:r>
                            <w:rPr>
                              <w:rFonts w:ascii="宋体" w:hAnsi="宋体"/>
                              <w:sz w:val="18"/>
                              <w:szCs w:val="18"/>
                            </w:rPr>
                            <w:fldChar w:fldCharType="separate"/>
                          </w:r>
                          <w:r>
                            <w:rPr>
                              <w:rFonts w:ascii="宋体" w:hAnsi="宋体"/>
                              <w:sz w:val="18"/>
                              <w:szCs w:val="18"/>
                            </w:rPr>
                            <w:t>21</w:t>
                          </w:r>
                          <w:r>
                            <w:rPr>
                              <w:rFonts w:ascii="宋体" w:hAnsi="宋体"/>
                              <w:sz w:val="18"/>
                              <w:szCs w:val="18"/>
                            </w:rPr>
                            <w:fldChar w:fldCharType="end"/>
                          </w:r>
                          <w:r>
                            <w:rPr>
                              <w:rFonts w:hint="eastAsia" w:ascii="宋体" w:hAnsi="宋体"/>
                              <w:sz w:val="18"/>
                              <w:szCs w:val="1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MV+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9k4hqgPXVmjXA/C7TFhE6W3XGGEnQrjzAq7ab/yUvx5L1mP/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xX4yQEAAJsDAAAOAAAAAAAAAAEAIAAAAB4BAABkcnMvZTJvRG9j&#10;LnhtbFBLBQYAAAAABgAGAFkBAABZBQAAAAA=&#10;">
              <v:fill on="f" focussize="0,0"/>
              <v:stroke on="f"/>
              <v:imagedata o:title=""/>
              <o:lock v:ext="edit" aspectratio="f"/>
              <v:textbox inset="0mm,0mm,0mm,0mm" style="mso-fit-shape-to-text:t;">
                <w:txbxContent>
                  <w:p w14:paraId="0C2F0FD2">
                    <w:pPr>
                      <w:tabs>
                        <w:tab w:val="center" w:pos="4153"/>
                        <w:tab w:val="right" w:pos="8306"/>
                      </w:tabs>
                      <w:rPr>
                        <w:rFonts w:ascii="宋体" w:hAnsi="宋体"/>
                        <w:sz w:val="18"/>
                        <w:szCs w:val="18"/>
                      </w:rPr>
                    </w:pPr>
                    <w:r>
                      <w:rPr>
                        <w:rFonts w:hint="eastAsia" w:ascii="宋体" w:hAnsi="宋体"/>
                        <w:sz w:val="18"/>
                        <w:szCs w:val="18"/>
                      </w:rPr>
                      <w:t xml:space="preserve">—  </w:t>
                    </w:r>
                    <w:r>
                      <w:rPr>
                        <w:rFonts w:ascii="宋体" w:hAnsi="宋体"/>
                        <w:sz w:val="18"/>
                        <w:szCs w:val="18"/>
                      </w:rPr>
                      <w:fldChar w:fldCharType="begin"/>
                    </w:r>
                    <w:r>
                      <w:rPr>
                        <w:rFonts w:ascii="宋体" w:hAnsi="宋体"/>
                        <w:sz w:val="18"/>
                        <w:szCs w:val="18"/>
                      </w:rPr>
                      <w:instrText xml:space="preserve">PAGE  </w:instrText>
                    </w:r>
                    <w:r>
                      <w:rPr>
                        <w:rFonts w:ascii="宋体" w:hAnsi="宋体"/>
                        <w:sz w:val="18"/>
                        <w:szCs w:val="18"/>
                      </w:rPr>
                      <w:fldChar w:fldCharType="separate"/>
                    </w:r>
                    <w:r>
                      <w:rPr>
                        <w:rFonts w:ascii="宋体" w:hAnsi="宋体"/>
                        <w:sz w:val="18"/>
                        <w:szCs w:val="18"/>
                      </w:rPr>
                      <w:t>21</w:t>
                    </w:r>
                    <w:r>
                      <w:rPr>
                        <w:rFonts w:ascii="宋体" w:hAnsi="宋体"/>
                        <w:sz w:val="18"/>
                        <w:szCs w:val="18"/>
                      </w:rPr>
                      <w:fldChar w:fldCharType="end"/>
                    </w:r>
                    <w:r>
                      <w:rPr>
                        <w:rFonts w:hint="eastAsia" w:ascii="宋体" w:hAnsi="宋体"/>
                        <w:sz w:val="18"/>
                        <w:szCs w:val="1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690B">
    <w:pPr>
      <w:tabs>
        <w:tab w:val="center" w:pos="4153"/>
        <w:tab w:val="right" w:pos="8306"/>
      </w:tabs>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AFF979">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18"/>
                              <w:szCs w:val="18"/>
                            </w:rPr>
                            <w:fldChar w:fldCharType="begin"/>
                          </w:r>
                          <w:r>
                            <w:rPr>
                              <w:rFonts w:ascii="宋体" w:hAnsi="宋体"/>
                              <w:sz w:val="18"/>
                              <w:szCs w:val="18"/>
                            </w:rPr>
                            <w:instrText xml:space="preserve">PAGE  </w:instrText>
                          </w:r>
                          <w:r>
                            <w:rPr>
                              <w:rFonts w:ascii="宋体" w:hAnsi="宋体"/>
                              <w:sz w:val="18"/>
                              <w:szCs w:val="18"/>
                            </w:rPr>
                            <w:fldChar w:fldCharType="separate"/>
                          </w:r>
                          <w:r>
                            <w:rPr>
                              <w:rFonts w:ascii="宋体" w:hAnsi="宋体"/>
                              <w:sz w:val="18"/>
                              <w:szCs w:val="18"/>
                            </w:rPr>
                            <w:t>23</w:t>
                          </w:r>
                          <w:r>
                            <w:rPr>
                              <w:rFonts w:ascii="宋体" w:hAnsi="宋体"/>
                              <w:sz w:val="18"/>
                              <w:szCs w:val="18"/>
                            </w:rPr>
                            <w:fldChar w:fldCharType="end"/>
                          </w:r>
                          <w:r>
                            <w:rPr>
                              <w:rFonts w:hint="eastAsia" w:ascii="宋体" w:hAnsi="宋体"/>
                              <w:sz w:val="18"/>
                              <w:szCs w:val="18"/>
                            </w:rPr>
                            <w:t xml:space="preserve">  </w:t>
                          </w:r>
                          <w:r>
                            <w:rPr>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coMoBAACb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PcoMoBAACbAwAADgAAAAAAAAABACAAAAAeAQAAZHJzL2Uyb0Rv&#10;Yy54bWxQSwUGAAAAAAYABgBZAQAAWgUAAAAA&#10;">
              <v:fill on="f" focussize="0,0"/>
              <v:stroke on="f"/>
              <v:imagedata o:title=""/>
              <o:lock v:ext="edit" aspectratio="f"/>
              <v:textbox inset="0mm,0mm,0mm,0mm" style="mso-fit-shape-to-text:t;">
                <w:txbxContent>
                  <w:p w14:paraId="58AFF979">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18"/>
                        <w:szCs w:val="18"/>
                      </w:rPr>
                      <w:fldChar w:fldCharType="begin"/>
                    </w:r>
                    <w:r>
                      <w:rPr>
                        <w:rFonts w:ascii="宋体" w:hAnsi="宋体"/>
                        <w:sz w:val="18"/>
                        <w:szCs w:val="18"/>
                      </w:rPr>
                      <w:instrText xml:space="preserve">PAGE  </w:instrText>
                    </w:r>
                    <w:r>
                      <w:rPr>
                        <w:rFonts w:ascii="宋体" w:hAnsi="宋体"/>
                        <w:sz w:val="18"/>
                        <w:szCs w:val="18"/>
                      </w:rPr>
                      <w:fldChar w:fldCharType="separate"/>
                    </w:r>
                    <w:r>
                      <w:rPr>
                        <w:rFonts w:ascii="宋体" w:hAnsi="宋体"/>
                        <w:sz w:val="18"/>
                        <w:szCs w:val="18"/>
                      </w:rPr>
                      <w:t>23</w:t>
                    </w:r>
                    <w:r>
                      <w:rPr>
                        <w:rFonts w:ascii="宋体" w:hAnsi="宋体"/>
                        <w:sz w:val="18"/>
                        <w:szCs w:val="18"/>
                      </w:rPr>
                      <w:fldChar w:fldCharType="end"/>
                    </w:r>
                    <w:r>
                      <w:rPr>
                        <w:rFonts w:hint="eastAsia" w:ascii="宋体" w:hAnsi="宋体"/>
                        <w:sz w:val="18"/>
                        <w:szCs w:val="18"/>
                      </w:rPr>
                      <w:t xml:space="preserve">  </w:t>
                    </w:r>
                    <w:r>
                      <w:rPr>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73C3A">
    <w:pPr>
      <w:tabs>
        <w:tab w:val="center" w:pos="4153"/>
        <w:tab w:val="right" w:pos="8306"/>
      </w:tabs>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A57E77">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29</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ECQn8kBAACb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9k4hqgPXVmjXA/C7TFhE6W3XGGEnQrjzAq7ab/yUvx5L1mP/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QJCfyQEAAJsDAAAOAAAAAAAAAAEAIAAAAB4BAABkcnMvZTJvRG9j&#10;LnhtbFBLBQYAAAAABgAGAFkBAABZBQAAAAA=&#10;">
              <v:fill on="f" focussize="0,0"/>
              <v:stroke on="f"/>
              <v:imagedata o:title=""/>
              <o:lock v:ext="edit" aspectratio="f"/>
              <v:textbox inset="0mm,0mm,0mm,0mm" style="mso-fit-shape-to-text:t;">
                <w:txbxContent>
                  <w:p w14:paraId="66A57E77">
                    <w:pPr>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0"/>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29</w:t>
                    </w:r>
                    <w:r>
                      <w:rPr>
                        <w:rFonts w:ascii="宋体" w:hAnsi="宋体"/>
                        <w:sz w:val="26"/>
                        <w:szCs w:val="26"/>
                      </w:rPr>
                      <w:fldChar w:fldCharType="end"/>
                    </w:r>
                    <w:r>
                      <w:rPr>
                        <w:rFonts w:hint="eastAsia" w:ascii="宋体" w:hAnsi="宋体"/>
                        <w:sz w:val="20"/>
                      </w:rPr>
                      <w:t xml:space="preserve">  </w:t>
                    </w:r>
                    <w:r>
                      <w:rPr>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BF25B6"/>
    <w:multiLevelType w:val="singleLevel"/>
    <w:tmpl w:val="13BF25B6"/>
    <w:lvl w:ilvl="0" w:tentative="0">
      <w:start w:val="2"/>
      <w:numFmt w:val="decimal"/>
      <w:suff w:val="nothing"/>
      <w:lvlText w:val="（%1）"/>
      <w:lvlJc w:val="left"/>
    </w:lvl>
  </w:abstractNum>
  <w:abstractNum w:abstractNumId="1">
    <w:nsid w:val="19324BC6"/>
    <w:multiLevelType w:val="singleLevel"/>
    <w:tmpl w:val="19324BC6"/>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45A9"/>
    <w:rsid w:val="06E24FE5"/>
    <w:rsid w:val="0B921544"/>
    <w:rsid w:val="0C750E04"/>
    <w:rsid w:val="0CBC61D0"/>
    <w:rsid w:val="0CF30837"/>
    <w:rsid w:val="0F775D41"/>
    <w:rsid w:val="10FF3B4E"/>
    <w:rsid w:val="17530B0A"/>
    <w:rsid w:val="1B700333"/>
    <w:rsid w:val="212E39DD"/>
    <w:rsid w:val="25CF1486"/>
    <w:rsid w:val="29A970C5"/>
    <w:rsid w:val="2AD215C5"/>
    <w:rsid w:val="2C9C5721"/>
    <w:rsid w:val="2DF35F64"/>
    <w:rsid w:val="2F783FFC"/>
    <w:rsid w:val="2FB26FCE"/>
    <w:rsid w:val="364054B3"/>
    <w:rsid w:val="3AB26C10"/>
    <w:rsid w:val="44C33AFB"/>
    <w:rsid w:val="45897AC1"/>
    <w:rsid w:val="47381187"/>
    <w:rsid w:val="476C4BDC"/>
    <w:rsid w:val="48A560A8"/>
    <w:rsid w:val="4AF41DB6"/>
    <w:rsid w:val="4E5375A5"/>
    <w:rsid w:val="5A132013"/>
    <w:rsid w:val="5B55313D"/>
    <w:rsid w:val="5B6470F2"/>
    <w:rsid w:val="5CE145A9"/>
    <w:rsid w:val="647672F7"/>
    <w:rsid w:val="6EA069A4"/>
    <w:rsid w:val="6ED512D1"/>
    <w:rsid w:val="709967AC"/>
    <w:rsid w:val="711D4A25"/>
    <w:rsid w:val="73474DDA"/>
    <w:rsid w:val="755A6FB2"/>
    <w:rsid w:val="776C71EC"/>
    <w:rsid w:val="7FB04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spacing w:line="460" w:lineRule="atLeast"/>
      <w:ind w:firstLine="420"/>
    </w:pPr>
    <w:rPr>
      <w:sz w:val="24"/>
    </w:rPr>
  </w:style>
  <w:style w:type="paragraph" w:styleId="4">
    <w:name w:val="annotation text"/>
    <w:basedOn w:val="1"/>
    <w:qFormat/>
    <w:uiPriority w:val="0"/>
    <w:pPr>
      <w:jc w:val="left"/>
    </w:pPr>
  </w:style>
  <w:style w:type="paragraph" w:styleId="5">
    <w:name w:val="Body Text"/>
    <w:basedOn w:val="1"/>
    <w:next w:val="1"/>
    <w:qFormat/>
    <w:uiPriority w:val="0"/>
    <w:rPr>
      <w:sz w:val="30"/>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39"/>
    <w:pPr>
      <w:spacing w:line="360" w:lineRule="auto"/>
    </w:pPr>
    <w:rPr>
      <w:b/>
      <w:sz w:val="24"/>
    </w:rPr>
  </w:style>
  <w:style w:type="paragraph" w:styleId="8">
    <w:name w:val="table of figures"/>
    <w:basedOn w:val="1"/>
    <w:next w:val="1"/>
    <w:qFormat/>
    <w:uiPriority w:val="0"/>
    <w:pPr>
      <w:ind w:left="200" w:leftChars="200" w:hanging="200" w:hangingChars="200"/>
    </w:pPr>
    <w:rPr>
      <w:sz w:val="20"/>
    </w:rPr>
  </w:style>
  <w:style w:type="paragraph" w:styleId="9">
    <w:name w:val="toc 2"/>
    <w:basedOn w:val="1"/>
    <w:next w:val="1"/>
    <w:qFormat/>
    <w:uiPriority w:val="39"/>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Body Text First Indent"/>
    <w:basedOn w:val="1"/>
    <w:next w:val="12"/>
    <w:qFormat/>
    <w:uiPriority w:val="0"/>
    <w:pPr>
      <w:spacing w:after="120"/>
      <w:ind w:firstLine="420" w:firstLineChars="100"/>
    </w:pPr>
    <w:rPr>
      <w:sz w:val="21"/>
    </w:rPr>
  </w:style>
  <w:style w:type="paragraph" w:customStyle="1" w:styleId="12">
    <w:name w:val="样式 正文首行缩进 + 首行缩进:  2 字符1"/>
    <w:basedOn w:val="1"/>
    <w:next w:val="7"/>
    <w:qFormat/>
    <w:uiPriority w:val="0"/>
    <w:pPr>
      <w:spacing w:line="360" w:lineRule="auto"/>
      <w:ind w:firstLine="480" w:firstLineChars="200"/>
    </w:pPr>
    <w:rPr>
      <w:sz w:val="24"/>
    </w:rPr>
  </w:style>
  <w:style w:type="table" w:styleId="14">
    <w:name w:val="Table Grid"/>
    <w:basedOn w:val="1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337AB7"/>
      <w:u w:val="single"/>
    </w:rPr>
  </w:style>
  <w:style w:type="character" w:styleId="17">
    <w:name w:val="annotation reference"/>
    <w:qFormat/>
    <w:uiPriority w:val="0"/>
    <w:rPr>
      <w:sz w:val="21"/>
      <w:szCs w:val="21"/>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character" w:customStyle="1" w:styleId="19">
    <w:name w:val="font31"/>
    <w:qFormat/>
    <w:uiPriority w:val="0"/>
    <w:rPr>
      <w:rFonts w:ascii="Times New Roman" w:hAnsi="Times New Roman" w:cs="Times New Roman"/>
      <w:color w:val="000000"/>
      <w:sz w:val="21"/>
      <w:szCs w:val="21"/>
      <w:u w:val="none"/>
    </w:rPr>
  </w:style>
  <w:style w:type="paragraph" w:customStyle="1" w:styleId="20">
    <w:name w:val="文本框样式"/>
    <w:basedOn w:val="1"/>
    <w:qFormat/>
    <w:uiPriority w:val="0"/>
    <w:pPr>
      <w:spacing w:line="240" w:lineRule="auto"/>
      <w:ind w:firstLine="0" w:firstLineChars="0"/>
      <w:jc w:val="center"/>
    </w:pPr>
    <w:rPr>
      <w:sz w:val="21"/>
    </w:rPr>
  </w:style>
  <w:style w:type="paragraph" w:customStyle="1" w:styleId="21">
    <w:name w:val="Table Text"/>
    <w:basedOn w:val="1"/>
    <w:semiHidden/>
    <w:qFormat/>
    <w:uiPriority w:val="0"/>
    <w:rPr>
      <w:rFonts w:ascii="宋体" w:hAnsi="宋体" w:eastAsia="宋体" w:cs="宋体"/>
      <w:sz w:val="16"/>
      <w:szCs w:val="16"/>
      <w:lang w:val="en-US" w:eastAsia="en-US" w:bidi="ar-SA"/>
    </w:rPr>
  </w:style>
  <w:style w:type="character" w:customStyle="1" w:styleId="22">
    <w:name w:val="font11"/>
    <w:basedOn w:val="15"/>
    <w:qFormat/>
    <w:uiPriority w:val="0"/>
    <w:rPr>
      <w:rFonts w:hint="eastAsia" w:ascii="宋体" w:hAnsi="宋体" w:eastAsia="宋体" w:cs="宋体"/>
      <w:color w:val="000000"/>
      <w:sz w:val="22"/>
      <w:szCs w:val="22"/>
      <w:u w:val="none"/>
      <w:vertAlign w:val="superscript"/>
    </w:rPr>
  </w:style>
  <w:style w:type="character" w:customStyle="1" w:styleId="23">
    <w:name w:val="font21"/>
    <w:qFormat/>
    <w:uiPriority w:val="0"/>
    <w:rPr>
      <w:rFonts w:hint="default" w:ascii="Arial" w:hAnsi="Arial" w:cs="Arial"/>
      <w:color w:val="333333"/>
      <w:sz w:val="18"/>
      <w:szCs w:val="18"/>
      <w:u w:val="none"/>
    </w:rPr>
  </w:style>
  <w:style w:type="paragraph" w:customStyle="1" w:styleId="24">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25">
    <w:name w:val="表中字"/>
    <w:basedOn w:val="1"/>
    <w:qFormat/>
    <w:uiPriority w:val="0"/>
    <w:pPr>
      <w:spacing w:line="240" w:lineRule="atLeast"/>
      <w:jc w:val="center"/>
    </w:pPr>
    <w:rPr>
      <w:szCs w:val="22"/>
      <w:lang w:val="zh-CN"/>
    </w:rPr>
  </w:style>
  <w:style w:type="paragraph" w:customStyle="1" w:styleId="26">
    <w:name w:val="表中文字（工大）"/>
    <w:basedOn w:val="1"/>
    <w:qFormat/>
    <w:uiPriority w:val="0"/>
    <w:pPr>
      <w:spacing w:line="440" w:lineRule="exact"/>
      <w:jc w:val="center"/>
    </w:pPr>
    <w:rPr>
      <w:sz w:val="21"/>
      <w:szCs w:val="20"/>
    </w:rPr>
  </w:style>
  <w:style w:type="paragraph" w:customStyle="1" w:styleId="27">
    <w:name w:val="表格内容"/>
    <w:basedOn w:val="1"/>
    <w:qFormat/>
    <w:uiPriority w:val="0"/>
    <w:pPr>
      <w:jc w:val="center"/>
    </w:pPr>
    <w:rPr>
      <w:bCs/>
      <w:color w:val="000000"/>
      <w:szCs w:val="21"/>
    </w:rPr>
  </w:style>
  <w:style w:type="paragraph" w:customStyle="1" w:styleId="28">
    <w:name w:val="表格题目"/>
    <w:basedOn w:val="1"/>
    <w:qFormat/>
    <w:uiPriority w:val="99"/>
    <w:pPr>
      <w:spacing w:line="240" w:lineRule="atLeast"/>
      <w:jc w:val="center"/>
    </w:pPr>
    <w:rPr>
      <w:rFonts w:ascii="黑体" w:hAnsi="宋体" w:eastAsia="黑体" w:cs="黑体"/>
      <w:sz w:val="24"/>
      <w:szCs w:val="24"/>
    </w:rPr>
  </w:style>
  <w:style w:type="paragraph" w:customStyle="1" w:styleId="29">
    <w:name w:val="盂县"/>
    <w:basedOn w:val="1"/>
    <w:qFormat/>
    <w:uiPriority w:val="99"/>
    <w:pPr>
      <w:adjustRightInd w:val="0"/>
      <w:snapToGrid w:val="0"/>
      <w:spacing w:line="312" w:lineRule="auto"/>
      <w:ind w:firstLine="560" w:firstLineChars="200"/>
    </w:pPr>
    <w:rPr>
      <w:sz w:val="28"/>
      <w:szCs w:val="28"/>
    </w:rPr>
  </w:style>
  <w:style w:type="paragraph" w:customStyle="1" w:styleId="30">
    <w:name w:val="【正文】"/>
    <w:basedOn w:val="1"/>
    <w:qFormat/>
    <w:uiPriority w:val="0"/>
    <w:pPr>
      <w:ind w:firstLine="200"/>
    </w:pPr>
  </w:style>
  <w:style w:type="paragraph" w:customStyle="1" w:styleId="31">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2">
    <w:name w:val="C首行缩进正文"/>
    <w:basedOn w:val="30"/>
    <w:qFormat/>
    <w:uiPriority w:val="0"/>
    <w:rPr>
      <w:sz w:val="21"/>
    </w:rPr>
  </w:style>
  <w:style w:type="paragraph" w:customStyle="1" w:styleId="33">
    <w:name w:val="Default"/>
    <w:basedOn w:val="34"/>
    <w:next w:val="1"/>
    <w:autoRedefine/>
    <w:qFormat/>
    <w:uiPriority w:val="0"/>
    <w:pPr>
      <w:widowControl w:val="0"/>
      <w:autoSpaceDE w:val="0"/>
      <w:autoSpaceDN w:val="0"/>
    </w:pPr>
    <w:rPr>
      <w:rFonts w:hAnsi="Calibri" w:cs="宋体"/>
      <w:color w:val="000000"/>
      <w:szCs w:val="24"/>
    </w:rPr>
  </w:style>
  <w:style w:type="paragraph" w:customStyle="1" w:styleId="34">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5">
    <w:name w:val="【表中文字】"/>
    <w:basedOn w:val="36"/>
    <w:autoRedefine/>
    <w:qFormat/>
    <w:uiPriority w:val="0"/>
    <w:pPr>
      <w:jc w:val="center"/>
    </w:pPr>
    <w:rPr>
      <w:rFonts w:ascii="Calibri" w:hAnsi="Calibri" w:cs="黑体"/>
      <w:kern w:val="0"/>
      <w:sz w:val="20"/>
      <w:szCs w:val="20"/>
    </w:rPr>
  </w:style>
  <w:style w:type="paragraph" w:customStyle="1" w:styleId="36">
    <w:name w:val="Normal"/>
    <w:autoRedefine/>
    <w:qFormat/>
    <w:uiPriority w:val="0"/>
    <w:pPr>
      <w:widowControl w:val="0"/>
      <w:adjustRightInd w:val="0"/>
      <w:spacing w:line="360" w:lineRule="atLeast"/>
    </w:pPr>
    <w:rPr>
      <w:rFonts w:ascii="宋体" w:hAnsi="Times New Roman" w:eastAsia="宋体" w:cs="Times New Roman"/>
      <w:sz w:val="24"/>
      <w:szCs w:val="22"/>
      <w:lang w:val="en-US" w:eastAsia="zh-CN" w:bidi="ar-SA"/>
    </w:rPr>
  </w:style>
  <w:style w:type="paragraph" w:customStyle="1" w:styleId="37">
    <w:name w:val="填表样式"/>
    <w:basedOn w:val="1"/>
    <w:qFormat/>
    <w:uiPriority w:val="0"/>
    <w:pPr>
      <w:adjustRightInd w:val="0"/>
      <w:snapToGrid w:val="0"/>
      <w:spacing w:line="360" w:lineRule="auto"/>
      <w:ind w:firstLine="72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0" Type="http://schemas.openxmlformats.org/officeDocument/2006/relationships/fontTable" Target="fontTable.xml"/><Relationship Id="rId6" Type="http://schemas.openxmlformats.org/officeDocument/2006/relationships/footer" Target="footer4.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3.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emf"/><Relationship Id="rId27" Type="http://schemas.openxmlformats.org/officeDocument/2006/relationships/oleObject" Target="embeddings/oleObject6.bin"/><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13133</Words>
  <Characters>14210</Characters>
  <Lines>0</Lines>
  <Paragraphs>0</Paragraphs>
  <TotalTime>40</TotalTime>
  <ScaleCrop>false</ScaleCrop>
  <LinksUpToDate>false</LinksUpToDate>
  <CharactersWithSpaces>14351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2025-07-17T01:53:00Z</dcterms:created>
  <dc:creator>❀少女包青天❀</dc:creator>
  <cp:lastModifiedBy>❀少女包青天❀</cp:lastModifiedBy>
  <dcterms:modified xsi:type="dcterms:W3CDTF">2025-08-22T06:16:05Z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5FAC62D44A384D478BA769C27DDA17B2_11</vt:lpwstr>
  </property>
  <property fmtid="{D5CDD505-2E9C-101B-9397-08002B2CF9AE}" pid="4" name="KSOTemplateDocerSaveRecord">
    <vt:lpwstr>eyJoZGlkIjoiMWVjMDU0NGJhZDUyNjY0NTE1ZWIyZGJmNTM4YTQ1YjMiLCJ1c2VySWQiOiIyOTA2NTQ5OTIifQ==</vt:lpwstr>
  </property>
</Properties>
</file>