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588F5">
      <w:pPr>
        <w:pStyle w:val="2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 w14:paraId="03D3EEF5"/>
    <w:p w14:paraId="7482D935">
      <w:pPr>
        <w:spacing w:line="6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3613B7BC">
      <w:pPr>
        <w:pStyle w:val="2"/>
      </w:pPr>
    </w:p>
    <w:p w14:paraId="5AD3CCE6">
      <w:pPr>
        <w:spacing w:line="6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0A687D22">
      <w:pPr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青冈</w:t>
      </w:r>
      <w:r>
        <w:rPr>
          <w:rFonts w:ascii="Times New Roman" w:hAnsi="Times New Roman" w:eastAsia="方正小标宋简体" w:cs="Times New Roman"/>
          <w:sz w:val="44"/>
          <w:szCs w:val="44"/>
        </w:rPr>
        <w:t>县国土空间总体规划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（2021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—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2035年）</w:t>
      </w:r>
    </w:p>
    <w:p w14:paraId="65953234">
      <w:pPr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动态维护方案（2026年度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 w14:paraId="27B3DF37">
      <w:pPr>
        <w:spacing w:line="6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3A871128">
      <w:pPr>
        <w:spacing w:line="6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6AA9ECA4">
      <w:pPr>
        <w:spacing w:line="6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13E849DD">
      <w:pPr>
        <w:spacing w:line="6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5166678B">
      <w:pPr>
        <w:spacing w:line="6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609F2B8B">
      <w:pPr>
        <w:spacing w:line="6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55564A7D">
      <w:pPr>
        <w:spacing w:line="6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6A7472D3">
      <w:pPr>
        <w:spacing w:line="6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10660B8E">
      <w:pPr>
        <w:spacing w:line="6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35D60693">
      <w:pPr>
        <w:spacing w:line="66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</w:p>
    <w:p w14:paraId="6EC713E2">
      <w:pPr>
        <w:spacing w:line="66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青冈县自然资源局</w:t>
      </w:r>
    </w:p>
    <w:p w14:paraId="6652C72D">
      <w:pPr>
        <w:spacing w:line="66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2026</w:t>
      </w:r>
      <w:r>
        <w:rPr>
          <w:rFonts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4</w:t>
      </w:r>
      <w:r>
        <w:rPr>
          <w:rFonts w:ascii="Times New Roman" w:hAnsi="Times New Roman" w:eastAsia="楷体_GB2312" w:cs="Times New Roman"/>
          <w:sz w:val="32"/>
          <w:szCs w:val="32"/>
        </w:rPr>
        <w:t>月</w:t>
      </w:r>
    </w:p>
    <w:p w14:paraId="10AFEFC7">
      <w:pPr>
        <w:spacing w:line="66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 w14:paraId="488E6462">
      <w:pPr>
        <w:spacing w:line="66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 w14:paraId="19ADDB32">
      <w:pPr>
        <w:jc w:val="center"/>
        <w:rPr>
          <w:rFonts w:hint="eastAsia" w:ascii="黑体" w:hAnsi="黑体" w:eastAsia="黑体" w:cs="黑体"/>
          <w:sz w:val="32"/>
          <w:szCs w:val="40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701" w:right="1474" w:bottom="1701" w:left="1587" w:header="851" w:footer="992" w:gutter="0"/>
          <w:pgNumType w:fmt="upperRoman"/>
          <w:cols w:space="425" w:num="1"/>
          <w:titlePg/>
          <w:docGrid w:type="lines" w:linePitch="312" w:charSpace="0"/>
        </w:sectPr>
      </w:pPr>
    </w:p>
    <w:sdt>
      <w:sdtPr>
        <w:rPr>
          <w:rFonts w:hint="eastAsia" w:ascii="黑体" w:hAnsi="黑体" w:eastAsia="黑体" w:cs="黑体"/>
          <w:b/>
          <w:sz w:val="32"/>
          <w:szCs w:val="40"/>
        </w:rPr>
        <w:id w:val="147469084"/>
        <w15:color w:val="DBDBDB"/>
        <w:docPartObj>
          <w:docPartGallery w:val="Table of Contents"/>
          <w:docPartUnique/>
        </w:docPartObj>
      </w:sdtPr>
      <w:sdtEndPr>
        <w:rPr>
          <w:rFonts w:hint="default" w:ascii="楷体" w:hAnsi="楷体" w:eastAsia="楷体" w:cstheme="minorBidi"/>
          <w:b/>
          <w:sz w:val="24"/>
          <w:szCs w:val="20"/>
        </w:rPr>
      </w:sdtEndPr>
      <w:sdtContent>
        <w:p w14:paraId="3DBECD9A">
          <w:pPr>
            <w:jc w:val="center"/>
            <w:rPr>
              <w:rFonts w:hint="eastAsia" w:ascii="黑体" w:hAnsi="黑体" w:eastAsia="黑体" w:cs="黑体"/>
              <w:sz w:val="32"/>
              <w:szCs w:val="40"/>
            </w:rPr>
          </w:pPr>
          <w:r>
            <w:rPr>
              <w:rFonts w:hint="eastAsia" w:ascii="黑体" w:hAnsi="黑体" w:eastAsia="黑体" w:cs="黑体"/>
              <w:sz w:val="32"/>
              <w:szCs w:val="40"/>
            </w:rPr>
            <w:t>目  录</w:t>
          </w:r>
        </w:p>
        <w:p w14:paraId="5BE26EE0">
          <w:pPr>
            <w:pStyle w:val="10"/>
            <w:tabs>
              <w:tab w:val="right" w:leader="dot" w:pos="8845"/>
            </w:tabs>
            <w:rPr>
              <w:rFonts w:hint="default" w:ascii="Times New Roman" w:hAnsi="Times New Roman" w:cs="Times New Roman"/>
              <w:sz w:val="28"/>
              <w:szCs w:val="36"/>
            </w:rPr>
          </w:pP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36"/>
            </w:rPr>
            <w:instrText xml:space="preserve">TOC \o "1-2" \h \u </w:instrText>
          </w: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"_Toc15091"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sz w:val="28"/>
              <w:szCs w:val="44"/>
            </w:rPr>
            <w:t>一、总则</w:t>
          </w:r>
          <w:r>
            <w:rPr>
              <w:rFonts w:hint="default" w:ascii="Times New Roman" w:hAnsi="Times New Roman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36"/>
            </w:rPr>
            <w:instrText xml:space="preserve"> PAGEREF _Toc15091 \h </w:instrText>
          </w: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36"/>
            </w:rPr>
            <w:t>1</w:t>
          </w: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end"/>
          </w:r>
        </w:p>
        <w:p w14:paraId="18C470BA">
          <w:pPr>
            <w:pStyle w:val="10"/>
            <w:tabs>
              <w:tab w:val="right" w:leader="dot" w:pos="8845"/>
            </w:tabs>
            <w:rPr>
              <w:rFonts w:hint="default" w:ascii="Times New Roman" w:hAnsi="Times New Roman" w:cs="Times New Roman"/>
              <w:sz w:val="28"/>
              <w:szCs w:val="36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"_Toc16144"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sz w:val="28"/>
              <w:szCs w:val="44"/>
            </w:rPr>
            <w:t>二、动态维护方案</w:t>
          </w:r>
          <w:r>
            <w:rPr>
              <w:rFonts w:hint="default" w:ascii="Times New Roman" w:hAnsi="Times New Roman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36"/>
            </w:rPr>
            <w:instrText xml:space="preserve"> PAGEREF _Toc16144 \h </w:instrText>
          </w: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36"/>
            </w:rPr>
            <w:t>1</w:t>
          </w: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end"/>
          </w:r>
        </w:p>
        <w:p w14:paraId="432551E2">
          <w:pPr>
            <w:pStyle w:val="11"/>
            <w:tabs>
              <w:tab w:val="right" w:leader="dot" w:pos="8845"/>
            </w:tabs>
            <w:rPr>
              <w:rFonts w:hint="default" w:ascii="Times New Roman" w:hAnsi="Times New Roman" w:cs="Times New Roman"/>
              <w:sz w:val="28"/>
              <w:szCs w:val="36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"_Toc17422"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楷体_GB2312" w:cs="Times New Roman"/>
              <w:sz w:val="28"/>
              <w:szCs w:val="44"/>
            </w:rPr>
            <w:t>（一）空间管控边界维护</w:t>
          </w:r>
          <w:r>
            <w:rPr>
              <w:rFonts w:hint="default" w:ascii="Times New Roman" w:hAnsi="Times New Roman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36"/>
            </w:rPr>
            <w:instrText xml:space="preserve"> PAGEREF _Toc17422 \h </w:instrText>
          </w: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36"/>
            </w:rPr>
            <w:t>1</w:t>
          </w: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end"/>
          </w:r>
        </w:p>
        <w:p w14:paraId="09C31B6E">
          <w:pPr>
            <w:pStyle w:val="11"/>
            <w:tabs>
              <w:tab w:val="right" w:leader="dot" w:pos="8845"/>
            </w:tabs>
            <w:rPr>
              <w:rFonts w:hint="default" w:ascii="Times New Roman" w:hAnsi="Times New Roman" w:cs="Times New Roman"/>
              <w:sz w:val="28"/>
              <w:szCs w:val="36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"_Toc25474"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楷体_GB2312" w:cs="Times New Roman"/>
              <w:sz w:val="28"/>
              <w:szCs w:val="44"/>
            </w:rPr>
            <w:t>（二）规划分区维护</w:t>
          </w:r>
          <w:r>
            <w:rPr>
              <w:rFonts w:hint="default" w:ascii="Times New Roman" w:hAnsi="Times New Roman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36"/>
            </w:rPr>
            <w:instrText xml:space="preserve"> PAGEREF _Toc25474 \h </w:instrText>
          </w: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36"/>
            </w:rPr>
            <w:t>3</w:t>
          </w: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end"/>
          </w:r>
        </w:p>
        <w:p w14:paraId="1CFFF3A6">
          <w:pPr>
            <w:pStyle w:val="11"/>
            <w:tabs>
              <w:tab w:val="right" w:leader="dot" w:pos="8845"/>
            </w:tabs>
            <w:rPr>
              <w:rFonts w:hint="default" w:ascii="Times New Roman" w:hAnsi="Times New Roman" w:cs="Times New Roman"/>
              <w:sz w:val="28"/>
              <w:szCs w:val="36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"_Toc4746"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楷体_GB2312" w:cs="Times New Roman"/>
              <w:sz w:val="28"/>
              <w:szCs w:val="44"/>
            </w:rPr>
            <w:t>（三）中心城区用地规划布局维护</w:t>
          </w:r>
          <w:r>
            <w:rPr>
              <w:rFonts w:hint="default" w:ascii="Times New Roman" w:hAnsi="Times New Roman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36"/>
            </w:rPr>
            <w:instrText xml:space="preserve"> PAGEREF _Toc4746 \h </w:instrText>
          </w: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36"/>
            </w:rPr>
            <w:t>4</w:t>
          </w: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end"/>
          </w:r>
        </w:p>
        <w:p w14:paraId="2232F2FC">
          <w:pPr>
            <w:pStyle w:val="11"/>
            <w:tabs>
              <w:tab w:val="right" w:leader="dot" w:pos="8845"/>
            </w:tabs>
            <w:rPr>
              <w:rFonts w:hint="default" w:ascii="Times New Roman" w:hAnsi="Times New Roman" w:cs="Times New Roman"/>
              <w:sz w:val="28"/>
              <w:szCs w:val="36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"_Toc21300"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楷体_GB2312" w:cs="Times New Roman"/>
              <w:sz w:val="28"/>
              <w:szCs w:val="44"/>
            </w:rPr>
            <w:t>（四）城市四线</w:t>
          </w:r>
          <w:r>
            <w:rPr>
              <w:rFonts w:hint="default" w:ascii="Times New Roman" w:hAnsi="Times New Roman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36"/>
            </w:rPr>
            <w:instrText xml:space="preserve"> PAGEREF _Toc21300 \h </w:instrText>
          </w: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36"/>
            </w:rPr>
            <w:t>4</w:t>
          </w: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end"/>
          </w:r>
        </w:p>
        <w:p w14:paraId="17A0728F">
          <w:pPr>
            <w:pStyle w:val="11"/>
            <w:tabs>
              <w:tab w:val="right" w:leader="dot" w:pos="8845"/>
            </w:tabs>
            <w:rPr>
              <w:rFonts w:hint="default" w:ascii="Times New Roman" w:hAnsi="Times New Roman" w:cs="Times New Roman"/>
              <w:sz w:val="28"/>
              <w:szCs w:val="36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"_Toc1570"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楷体_GB2312" w:cs="Times New Roman"/>
              <w:sz w:val="28"/>
              <w:szCs w:val="44"/>
            </w:rPr>
            <w:t>（五）重点建设项目清单维护</w:t>
          </w:r>
          <w:r>
            <w:rPr>
              <w:rFonts w:hint="default" w:ascii="Times New Roman" w:hAnsi="Times New Roman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36"/>
            </w:rPr>
            <w:instrText xml:space="preserve"> PAGEREF _Toc1570 \h </w:instrText>
          </w: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36"/>
            </w:rPr>
            <w:t>5</w:t>
          </w: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36"/>
            </w:rPr>
            <w:fldChar w:fldCharType="end"/>
          </w:r>
        </w:p>
        <w:p w14:paraId="01579698">
          <w:pPr>
            <w:pStyle w:val="10"/>
            <w:tabs>
              <w:tab w:val="right" w:leader="dot" w:pos="8845"/>
            </w:tabs>
            <w:rPr>
              <w:rFonts w:hint="default" w:ascii="Times New Roman" w:hAnsi="Times New Roman" w:cs="Times New Roman" w:eastAsiaTheme="minorEastAsia"/>
              <w:sz w:val="28"/>
              <w:szCs w:val="44"/>
              <w:lang w:eastAsia="zh-CN"/>
            </w:rPr>
          </w:pPr>
          <w:r>
            <w:rPr>
              <w:rFonts w:hint="default" w:ascii="Times New Roman" w:hAnsi="Times New Roman" w:eastAsia="黑体" w:cs="Times New Roman"/>
              <w:sz w:val="28"/>
              <w:szCs w:val="44"/>
            </w:rPr>
            <w:t>三、动态维护方案可行性分析</w:t>
          </w:r>
          <w:r>
            <w:rPr>
              <w:rFonts w:hint="default" w:ascii="Times New Roman" w:hAnsi="Times New Roman" w:cs="Times New Roman"/>
              <w:sz w:val="28"/>
              <w:szCs w:val="36"/>
            </w:rPr>
            <w:tab/>
          </w:r>
          <w:r>
            <w:rPr>
              <w:rFonts w:hint="default" w:ascii="Times New Roman" w:hAnsi="Times New Roman" w:cs="Times New Roman"/>
              <w:sz w:val="28"/>
              <w:szCs w:val="36"/>
              <w:lang w:val="en-US" w:eastAsia="zh-CN"/>
            </w:rPr>
            <w:t>5</w:t>
          </w:r>
        </w:p>
        <w:p w14:paraId="1838F301">
          <w:pPr>
            <w:rPr>
              <w:rFonts w:hint="default" w:ascii="Times New Roman" w:hAnsi="Times New Roman" w:cs="Times New Roman"/>
            </w:rPr>
          </w:pPr>
        </w:p>
        <w:p w14:paraId="7DAE2BA9">
          <w:pPr>
            <w:pStyle w:val="2"/>
            <w:rPr>
              <w:rFonts w:hint="default" w:ascii="Times New Roman" w:hAnsi="Times New Roman" w:cs="Times New Roman"/>
              <w:sz w:val="36"/>
              <w:szCs w:val="24"/>
            </w:rPr>
            <w:sectPr>
              <w:headerReference r:id="rId7" w:type="first"/>
              <w:footerReference r:id="rId9" w:type="first"/>
              <w:headerReference r:id="rId6" w:type="default"/>
              <w:footerReference r:id="rId8" w:type="default"/>
              <w:pgSz w:w="11906" w:h="16838"/>
              <w:pgMar w:top="1701" w:right="1474" w:bottom="1701" w:left="1587" w:header="851" w:footer="992" w:gutter="0"/>
              <w:pgNumType w:fmt="upperRoman" w:start="1"/>
              <w:cols w:space="425" w:num="1"/>
              <w:titlePg/>
              <w:docGrid w:type="lines" w:linePitch="312" w:charSpace="0"/>
            </w:sectPr>
          </w:pPr>
          <w:r>
            <w:rPr>
              <w:rFonts w:hint="default" w:ascii="Times New Roman" w:hAnsi="Times New Roman" w:cs="Times New Roman"/>
              <w:sz w:val="36"/>
              <w:szCs w:val="24"/>
            </w:rPr>
            <w:fldChar w:fldCharType="end"/>
          </w:r>
        </w:p>
        <w:p w14:paraId="5BCF202A">
          <w:pPr>
            <w:pStyle w:val="2"/>
            <w:rPr>
              <w:rFonts w:hint="eastAsia"/>
            </w:rPr>
          </w:pPr>
        </w:p>
      </w:sdtContent>
    </w:sdt>
    <w:p w14:paraId="2B5C93DB">
      <w:pPr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青冈县</w:t>
      </w:r>
      <w:r>
        <w:rPr>
          <w:rFonts w:ascii="Times New Roman" w:hAnsi="Times New Roman" w:eastAsia="方正小标宋简体" w:cs="Times New Roman"/>
          <w:sz w:val="44"/>
          <w:szCs w:val="44"/>
        </w:rPr>
        <w:t>国土空间总体规划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（2021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—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2035年）</w:t>
      </w:r>
    </w:p>
    <w:p w14:paraId="19A0F421">
      <w:pPr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动态维护方案（2026年度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 w14:paraId="4EC258F9">
      <w:pPr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10DC3123">
      <w:pPr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bookmarkStart w:id="0" w:name="_Toc15091"/>
      <w:r>
        <w:rPr>
          <w:rFonts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</w:rPr>
        <w:t>总则</w:t>
      </w:r>
      <w:bookmarkEnd w:id="0"/>
    </w:p>
    <w:p w14:paraId="6A55B5A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青冈县</w:t>
      </w:r>
      <w:r>
        <w:rPr>
          <w:rFonts w:ascii="Times New Roman" w:hAnsi="Times New Roman" w:eastAsia="仿宋_GB2312" w:cs="Times New Roman"/>
          <w:sz w:val="32"/>
          <w:szCs w:val="32"/>
        </w:rPr>
        <w:t>严格对照国家关于规划动态调整完善的政策要求与技术标准，立足“十五五”发展需求与规划实施实际，基于年度体检报告主要结论，按照黑龙江省自然资源厅办公室关于印发《黑龙江省国土空间总体规划动态调整完善工作方案(试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》的通知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黑自然资办〔2026〕4号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文件的要求，开展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sz w:val="32"/>
          <w:szCs w:val="32"/>
        </w:rPr>
        <w:t>青冈县国土空间总体规划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（2021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2035年）</w:t>
      </w:r>
      <w:r>
        <w:rPr>
          <w:rFonts w:ascii="Times New Roman" w:hAnsi="Times New Roman" w:eastAsia="仿宋_GB2312" w:cs="Times New Roman"/>
          <w:sz w:val="32"/>
          <w:szCs w:val="32"/>
        </w:rPr>
        <w:t>动态维护方案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》（以下简称《方案》）</w:t>
      </w:r>
      <w:r>
        <w:rPr>
          <w:rFonts w:ascii="Times New Roman" w:hAnsi="Times New Roman" w:eastAsia="仿宋_GB2312" w:cs="Times New Roman"/>
          <w:sz w:val="32"/>
          <w:szCs w:val="32"/>
        </w:rPr>
        <w:t>编制工作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聚焦规划实施中的难点堵点问题，以优化三条控制线布局、精准保障基础设施和公共服务设施等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重点项目落位</w:t>
      </w:r>
      <w:r>
        <w:rPr>
          <w:rFonts w:ascii="Times New Roman" w:hAnsi="Times New Roman" w:eastAsia="仿宋_GB2312" w:cs="Times New Roman"/>
          <w:sz w:val="32"/>
          <w:szCs w:val="32"/>
        </w:rPr>
        <w:t>、提升空间治理效能为核心目标，精准明确空间结构和功能优化的重点区域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三条控制线</w:t>
      </w:r>
      <w:r>
        <w:rPr>
          <w:rFonts w:ascii="Times New Roman" w:hAnsi="Times New Roman" w:eastAsia="仿宋_GB2312" w:cs="Times New Roman"/>
          <w:sz w:val="32"/>
          <w:szCs w:val="32"/>
        </w:rPr>
        <w:t>正向优化、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规划分区维护、中心城区</w:t>
      </w:r>
      <w:r>
        <w:rPr>
          <w:rFonts w:ascii="Times New Roman" w:hAnsi="Times New Roman" w:eastAsia="仿宋_GB2312" w:cs="Times New Roman"/>
          <w:sz w:val="32"/>
          <w:szCs w:val="32"/>
        </w:rPr>
        <w:t>用地布局优化、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城市四线、</w:t>
      </w:r>
      <w:r>
        <w:rPr>
          <w:rFonts w:ascii="Times New Roman" w:hAnsi="Times New Roman" w:eastAsia="仿宋_GB2312" w:cs="Times New Roman"/>
          <w:sz w:val="32"/>
          <w:szCs w:val="32"/>
        </w:rPr>
        <w:t>重点项目安排表优化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个维度提出针对性规划优化建议，在坚持底线刚性、正向优化、上下衔接、问题导向、程序规范的原则下，统一以国土空间规划“一张图”为平台，依托最新调查数据与法定规划成果，为全县经济社会高质量发展提供坚实空间保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bookmarkStart w:id="7" w:name="_GoBack"/>
      <w:bookmarkEnd w:id="7"/>
    </w:p>
    <w:p w14:paraId="75277CE5">
      <w:pPr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bookmarkStart w:id="1" w:name="_Toc16144"/>
      <w:r>
        <w:rPr>
          <w:rFonts w:hint="eastAsia" w:ascii="Times New Roman" w:hAnsi="Times New Roman" w:eastAsia="黑体" w:cs="Times New Roman"/>
          <w:sz w:val="32"/>
          <w:szCs w:val="32"/>
        </w:rPr>
        <w:t>二</w:t>
      </w:r>
      <w:r>
        <w:rPr>
          <w:rFonts w:ascii="Times New Roman" w:hAnsi="Times New Roman" w:eastAsia="黑体" w:cs="Times New Roman"/>
          <w:sz w:val="32"/>
          <w:szCs w:val="32"/>
        </w:rPr>
        <w:t>、动态维护方案</w:t>
      </w:r>
      <w:bookmarkEnd w:id="1"/>
      <w:r>
        <w:rPr>
          <w:rFonts w:hint="eastAsia" w:ascii="Times New Roman" w:hAnsi="Times New Roman" w:eastAsia="黑体" w:cs="Times New Roman"/>
          <w:sz w:val="32"/>
          <w:szCs w:val="32"/>
        </w:rPr>
        <w:t>主要内容</w:t>
      </w:r>
    </w:p>
    <w:p w14:paraId="06EF4F3C">
      <w:pPr>
        <w:spacing w:line="560" w:lineRule="exact"/>
        <w:ind w:firstLine="640" w:firstLineChars="200"/>
        <w:outlineLvl w:val="1"/>
        <w:rPr>
          <w:rFonts w:ascii="Times New Roman" w:hAnsi="Times New Roman" w:eastAsia="楷体_GB2312" w:cs="Times New Roman"/>
          <w:sz w:val="32"/>
          <w:szCs w:val="32"/>
        </w:rPr>
      </w:pPr>
      <w:bookmarkStart w:id="2" w:name="_Toc17422"/>
      <w:r>
        <w:rPr>
          <w:rFonts w:ascii="Times New Roman" w:hAnsi="Times New Roman" w:eastAsia="楷体_GB2312" w:cs="Times New Roman"/>
          <w:sz w:val="32"/>
          <w:szCs w:val="32"/>
        </w:rPr>
        <w:t>（一）空间管控边界维护</w:t>
      </w:r>
      <w:bookmarkEnd w:id="2"/>
    </w:p>
    <w:p w14:paraId="25BF75F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空间管控边界包含耕地和永久基本农田、生态保护红线、城镇开发边界三条控制线，以及历史文化保护线、洪涝风险控制线等其他空间管控边界。</w:t>
      </w:r>
    </w:p>
    <w:p w14:paraId="3D1D0495">
      <w:pPr>
        <w:spacing w:line="560" w:lineRule="exact"/>
        <w:ind w:firstLine="640" w:firstLineChars="200"/>
        <w:outlineLvl w:val="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1.三条控制线</w:t>
      </w:r>
    </w:p>
    <w:p w14:paraId="1D459409">
      <w:pPr>
        <w:spacing w:line="560" w:lineRule="exact"/>
        <w:ind w:firstLine="640" w:firstLineChars="200"/>
        <w:outlineLvl w:val="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（1）</w:t>
      </w:r>
      <w:r>
        <w:rPr>
          <w:rFonts w:ascii="Times New Roman" w:hAnsi="Times New Roman" w:eastAsia="仿宋_GB2312" w:cs="Times New Roman"/>
          <w:sz w:val="32"/>
          <w:szCs w:val="32"/>
        </w:rPr>
        <w:t>耕地和永久基本农田</w:t>
      </w:r>
    </w:p>
    <w:p w14:paraId="114CD0D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以数量不减少、质量生态有提升、布局更优化为导向优化永久基本农田布局。维护前耕地保有量275.30万亩，维护后耕地保有量数量不减少。维护前永久基本农田237.44万亩，维护后永久基本农田数量不减少。维护后水田水浇地占永久基本农田面积比例提升，永久基本农田中高标准农田建成面积占比提升，质量生态有提升。维护后永久基本农田连片度提升，5亩以下永久基本农田碎图斑个数减少，布局更优化。</w:t>
      </w:r>
    </w:p>
    <w:p w14:paraId="4AF3E0E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严格管控一般耕地转为其他农用地，非农业建设占用耕地，必须严格落实先补后占和占一补一、占优补优、占水田补水田。严格落实永久基本农田特殊保护制度，已划定的永久基本农田，永久基本农田不得转为林地、草地、园地等其他农用地及农业设施建设用地。永久基本农田应当重点用于粮食生产。已划定的永久基本农田，任何单位和个人不得擅自占用或者改变用途。</w:t>
      </w:r>
    </w:p>
    <w:p w14:paraId="0908DFBC">
      <w:pPr>
        <w:spacing w:line="560" w:lineRule="exact"/>
        <w:ind w:firstLine="640" w:firstLineChars="200"/>
        <w:outlineLvl w:val="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（2）</w:t>
      </w:r>
      <w:r>
        <w:rPr>
          <w:rFonts w:ascii="Times New Roman" w:hAnsi="Times New Roman" w:eastAsia="仿宋_GB2312" w:cs="Times New Roman"/>
          <w:sz w:val="32"/>
          <w:szCs w:val="32"/>
        </w:rPr>
        <w:t>生态保护红线</w:t>
      </w:r>
    </w:p>
    <w:p w14:paraId="347BD78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以任务不减少、功能有提升、布局更完善为导向优化生态保护红线。待省级自然保护地整合优化方案批复后，开展生态保护红线优化。维护前生态保护红线面积75.96平方公里。</w:t>
      </w:r>
    </w:p>
    <w:p w14:paraId="0E086B0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生态保护红线内，自然保护地核心保护区原则上禁止人为活动，其他区域严格禁止开发性、生产性建设活动。在符合现行法律法规前提下，除国家重大战略项目外，仅允许对生态功能不造成破坏的有限人为活动。</w:t>
      </w:r>
    </w:p>
    <w:p w14:paraId="73FDBCBC">
      <w:pPr>
        <w:spacing w:line="560" w:lineRule="exact"/>
        <w:ind w:firstLine="640" w:firstLineChars="200"/>
        <w:outlineLvl w:val="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（3）</w:t>
      </w:r>
      <w:r>
        <w:rPr>
          <w:rFonts w:ascii="Times New Roman" w:hAnsi="Times New Roman" w:eastAsia="仿宋_GB2312" w:cs="Times New Roman"/>
          <w:sz w:val="32"/>
          <w:szCs w:val="32"/>
        </w:rPr>
        <w:t>城镇开发边界</w:t>
      </w:r>
    </w:p>
    <w:p w14:paraId="683E5B0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以总量不突破、布局更集聚、城镇功能品质提高为导向优化城镇开发边界。维护前城镇开发边界面积3159.58公顷，城镇开发边界扩展倍数为1.22，维护后城镇开发边界面积不增加。维护后15亩以下零星破碎的城镇开发边界图斑数量减少，优化后的城镇开发边界布局更集聚，并与总体规划明确的主要发展方向更符合，城镇功能品质有提高。</w:t>
      </w:r>
    </w:p>
    <w:p w14:paraId="3B37EB2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城镇开发边界内进行新增建设用地总量控制，城镇集中开发建设用地不得突破城镇开发边界。在城镇开发边界外确需进行单独选址的市政、交通、水利、能源等建设项目，按照国家和省相关规定执行。</w:t>
      </w:r>
    </w:p>
    <w:p w14:paraId="6B44DA15">
      <w:pPr>
        <w:spacing w:line="560" w:lineRule="exact"/>
        <w:ind w:firstLine="640" w:firstLineChars="200"/>
        <w:outlineLvl w:val="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2.其他空间管控边界</w:t>
      </w:r>
    </w:p>
    <w:p w14:paraId="4B6F4A3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洪涝风险控制线。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以水系的整体性、协调性、安全性有提升为导向，优化</w:t>
      </w:r>
      <w:r>
        <w:rPr>
          <w:rFonts w:ascii="Times New Roman" w:hAnsi="Times New Roman" w:eastAsia="仿宋_GB2312" w:cs="Times New Roman"/>
          <w:sz w:val="32"/>
          <w:szCs w:val="32"/>
        </w:rPr>
        <w:t>洪涝风险控制线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保持规划布局和规模基本稳定、功能不降低。按照黑龙江省水利厅《关于开展黑龙江省河湖管理范围划定成果调整的通知》（黑水发〔2024〕62号）要求，根据绥化市水务局批复的青冈县河湖管理范围划定成果调整方案，优化洪涝风险控制线。</w:t>
      </w:r>
    </w:p>
    <w:p w14:paraId="077E2FAB">
      <w:pPr>
        <w:spacing w:line="560" w:lineRule="exact"/>
        <w:ind w:firstLine="640" w:firstLineChars="200"/>
        <w:outlineLvl w:val="1"/>
        <w:rPr>
          <w:rFonts w:ascii="Times New Roman" w:hAnsi="Times New Roman" w:eastAsia="楷体_GB2312" w:cs="Times New Roman"/>
          <w:sz w:val="32"/>
          <w:szCs w:val="32"/>
        </w:rPr>
      </w:pPr>
      <w:bookmarkStart w:id="3" w:name="_Toc25474"/>
      <w:r>
        <w:rPr>
          <w:rFonts w:ascii="Times New Roman" w:hAnsi="Times New Roman" w:eastAsia="楷体_GB2312" w:cs="Times New Roman"/>
          <w:sz w:val="32"/>
          <w:szCs w:val="32"/>
        </w:rPr>
        <w:t>（二）规划分区维护</w:t>
      </w:r>
      <w:bookmarkEnd w:id="3"/>
    </w:p>
    <w:p w14:paraId="0EF75BE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《方案》</w:t>
      </w:r>
      <w:r>
        <w:rPr>
          <w:rFonts w:ascii="Times New Roman" w:hAnsi="Times New Roman" w:eastAsia="仿宋_GB2312" w:cs="Times New Roman"/>
          <w:sz w:val="32"/>
          <w:szCs w:val="32"/>
        </w:rPr>
        <w:t>结合三条控制线动态维护、同步开展规划分区动态维护的情况，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2024年度现状数据为基础依据，统筹各类空间需求，科学合理划定规划用途分区、优化用地布局结构，全过程严格严守城镇开发边界，在充分继承原有规划分区科学合理框架的基础上，聚焦功能结构优化、空间布局协调、城市品质提升等核心目标，进行系统性梳理、整合与完善，</w:t>
      </w:r>
      <w:r>
        <w:rPr>
          <w:rFonts w:ascii="Times New Roman" w:hAnsi="Times New Roman" w:eastAsia="仿宋_GB2312" w:cs="Times New Roman"/>
          <w:sz w:val="32"/>
          <w:szCs w:val="32"/>
        </w:rPr>
        <w:t>保障动态维护方案中空间管控边界布局与规划分区内容相匹配。</w:t>
      </w:r>
    </w:p>
    <w:p w14:paraId="428CBFBF">
      <w:pPr>
        <w:spacing w:line="560" w:lineRule="exact"/>
        <w:ind w:firstLine="640" w:firstLineChars="200"/>
        <w:outlineLvl w:val="1"/>
        <w:rPr>
          <w:rFonts w:ascii="Times New Roman" w:hAnsi="Times New Roman" w:eastAsia="楷体_GB2312" w:cs="Times New Roman"/>
          <w:sz w:val="32"/>
          <w:szCs w:val="32"/>
        </w:rPr>
      </w:pPr>
      <w:bookmarkStart w:id="4" w:name="_Toc4746"/>
      <w:r>
        <w:rPr>
          <w:rFonts w:ascii="Times New Roman" w:hAnsi="Times New Roman" w:eastAsia="楷体_GB2312" w:cs="Times New Roman"/>
          <w:sz w:val="32"/>
          <w:szCs w:val="32"/>
        </w:rPr>
        <w:t>（三）中心城区用地规划布局维护</w:t>
      </w:r>
      <w:bookmarkEnd w:id="4"/>
    </w:p>
    <w:p w14:paraId="2CA4E9A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《方案》聚焦前期规划实施评估发现的用地功能不全面、民生服务配套不完善、交通微循环不通畅等突出问题，</w:t>
      </w:r>
      <w:r>
        <w:rPr>
          <w:rFonts w:ascii="Times New Roman" w:hAnsi="Times New Roman" w:eastAsia="仿宋_GB2312" w:cs="Times New Roman"/>
          <w:sz w:val="32"/>
          <w:szCs w:val="32"/>
        </w:rPr>
        <w:t>在不改变现行总规确定的城市总体格局和空间结构的前提下，中心城区规划布局维护以促进高质量发展为导向，聚焦提升空间连通性和交通可达性、完善公共空间和公共服务、促进产业用地集约集聚，引导要素合理配置，构建优势互补、功能复合的空间格局。通过对中心城区用地布局局部优化调整，提升空间连通性和交通可达性，完善了公共管理和公共服务空间，促进产业用地集约集聚。对中心城区用地规划布局进行优化调整，以保障重大战略、重大政策、重大改革、重大项目更好落地实施。</w:t>
      </w:r>
    </w:p>
    <w:p w14:paraId="4DA3F798">
      <w:pPr>
        <w:spacing w:line="560" w:lineRule="exact"/>
        <w:ind w:firstLine="640" w:firstLineChars="200"/>
        <w:outlineLvl w:val="1"/>
        <w:rPr>
          <w:rFonts w:ascii="Times New Roman" w:hAnsi="Times New Roman" w:eastAsia="楷体_GB2312" w:cs="Times New Roman"/>
          <w:sz w:val="32"/>
          <w:szCs w:val="32"/>
        </w:rPr>
      </w:pPr>
      <w:bookmarkStart w:id="5" w:name="_Toc21300"/>
      <w:r>
        <w:rPr>
          <w:rFonts w:ascii="Times New Roman" w:hAnsi="Times New Roman" w:eastAsia="楷体_GB2312" w:cs="Times New Roman"/>
          <w:sz w:val="32"/>
          <w:szCs w:val="32"/>
        </w:rPr>
        <w:t>（四）城市四线</w:t>
      </w:r>
      <w:bookmarkEnd w:id="5"/>
    </w:p>
    <w:p w14:paraId="265E52D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本次动态调整明确，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青冈县</w:t>
      </w:r>
      <w:r>
        <w:rPr>
          <w:rFonts w:ascii="Times New Roman" w:hAnsi="Times New Roman" w:eastAsia="仿宋_GB2312" w:cs="Times New Roman"/>
          <w:sz w:val="32"/>
          <w:szCs w:val="32"/>
        </w:rPr>
        <w:t>域内城市蓝线、紫线均维持国土空间总体规划划定，不作调整。</w:t>
      </w:r>
    </w:p>
    <w:p w14:paraId="0B9CED0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在城市绿线优化方面，坚持“问题导向”与“目标导向”相结合，重点解决机关团体用地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、社会停车</w:t>
      </w:r>
      <w:r>
        <w:rPr>
          <w:rFonts w:ascii="Times New Roman" w:hAnsi="Times New Roman" w:eastAsia="仿宋_GB2312" w:cs="Times New Roman"/>
          <w:sz w:val="32"/>
          <w:szCs w:val="32"/>
        </w:rPr>
        <w:t>及商业需求。规划通过调整用地性质，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ascii="Times New Roman" w:hAnsi="Times New Roman" w:eastAsia="仿宋_GB2312" w:cs="Times New Roman"/>
          <w:sz w:val="32"/>
          <w:szCs w:val="32"/>
        </w:rPr>
        <w:t>适宜位置增设绿地用地，确保绿地总量“数量不减少、质量有提升”。优化后的绿地系统布局更加科学合理，各项绿化指标较原规划均有明显提高，并有效补齐了公共服务设施短板。动态维护前，城市绿线面积为313.03公顷；动态维护后，城市绿线面积为313.81公顷，增加0.78公顷；</w:t>
      </w:r>
    </w:p>
    <w:p w14:paraId="1E3E071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在城市黄线优化调整工作中，以满足区域商业发展需求为核 心导向，对既有土地利用规划开展针对性修订。动态维护前，城市黄线面积为57.51公顷；动态维护后，城市黄线面积为72.74公顷，增加15.23公顷。</w:t>
      </w:r>
    </w:p>
    <w:p w14:paraId="4CA336F4">
      <w:pPr>
        <w:spacing w:line="560" w:lineRule="exact"/>
        <w:ind w:firstLine="640" w:firstLineChars="200"/>
        <w:outlineLvl w:val="1"/>
        <w:rPr>
          <w:rFonts w:ascii="Times New Roman" w:hAnsi="Times New Roman" w:eastAsia="楷体_GB2312" w:cs="Times New Roman"/>
          <w:sz w:val="32"/>
          <w:szCs w:val="32"/>
        </w:rPr>
      </w:pPr>
      <w:bookmarkStart w:id="6" w:name="_Toc1570"/>
      <w:r>
        <w:rPr>
          <w:rFonts w:ascii="Times New Roman" w:hAnsi="Times New Roman" w:eastAsia="楷体_GB2312" w:cs="Times New Roman"/>
          <w:sz w:val="32"/>
          <w:szCs w:val="32"/>
        </w:rPr>
        <w:t>（五）重点建设项目清单维护</w:t>
      </w:r>
      <w:bookmarkEnd w:id="6"/>
    </w:p>
    <w:p w14:paraId="2C80058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衔接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黑龙江省及绥化市</w:t>
      </w:r>
      <w:r>
        <w:rPr>
          <w:rFonts w:ascii="Times New Roman" w:hAnsi="Times New Roman" w:eastAsia="仿宋_GB2312" w:cs="Times New Roman"/>
          <w:sz w:val="32"/>
          <w:szCs w:val="32"/>
        </w:rPr>
        <w:t>“十五五”发展规划和各专项规划空间需求，充分发挥规划的统筹协调作用，因地制宜动态增补、调序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共新增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重点建设项目</w:t>
      </w:r>
      <w:r>
        <w:rPr>
          <w:rFonts w:ascii="Times New Roman" w:hAnsi="Times New Roman" w:eastAsia="仿宋_GB2312" w:cs="Times New Roman"/>
          <w:sz w:val="32"/>
          <w:szCs w:val="32"/>
        </w:rPr>
        <w:t>28项，清退删除16项，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修改</w:t>
      </w:r>
      <w:r>
        <w:rPr>
          <w:rFonts w:ascii="Times New Roman" w:hAnsi="Times New Roman" w:eastAsia="仿宋_GB2312" w:cs="Times New Roman"/>
          <w:sz w:val="32"/>
          <w:szCs w:val="32"/>
        </w:rPr>
        <w:t>调整（名称、年限等）11项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，涉及交通、民生、能源、电力、水利等方面，</w:t>
      </w:r>
      <w:r>
        <w:rPr>
          <w:rFonts w:ascii="Times New Roman" w:hAnsi="Times New Roman" w:eastAsia="仿宋_GB2312" w:cs="Times New Roman"/>
          <w:sz w:val="32"/>
          <w:szCs w:val="32"/>
        </w:rPr>
        <w:t>制定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241项</w:t>
      </w:r>
      <w:r>
        <w:rPr>
          <w:rFonts w:ascii="Times New Roman" w:hAnsi="Times New Roman" w:eastAsia="仿宋_GB2312" w:cs="Times New Roman"/>
          <w:sz w:val="32"/>
          <w:szCs w:val="32"/>
        </w:rPr>
        <w:t>重点建设项目清单。</w:t>
      </w:r>
    </w:p>
    <w:p w14:paraId="46620D66">
      <w:pPr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、动态维护方案可行性分析</w:t>
      </w:r>
    </w:p>
    <w:p w14:paraId="36F5863C"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本次《方案》符合我省制定的《黑龙江省</w:t>
      </w:r>
      <w:r>
        <w:rPr>
          <w:rFonts w:ascii="Times New Roman" w:hAnsi="Times New Roman" w:eastAsia="仿宋_GB2312" w:cs="Times New Roman"/>
          <w:sz w:val="32"/>
          <w:szCs w:val="32"/>
        </w:rPr>
        <w:t>国土空间总体规划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动态维护</w:t>
      </w:r>
      <w:r>
        <w:rPr>
          <w:rFonts w:ascii="Times New Roman" w:hAnsi="Times New Roman" w:eastAsia="仿宋_GB2312" w:cs="Times New Roman"/>
          <w:sz w:val="32"/>
          <w:szCs w:val="32"/>
        </w:rPr>
        <w:t>正向优化标准（试行）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》正向优化标准要求</w:t>
      </w:r>
      <w:r>
        <w:rPr>
          <w:rFonts w:ascii="Times New Roman" w:hAnsi="Times New Roman" w:eastAsia="仿宋_GB2312" w:cs="Times New Roman"/>
          <w:sz w:val="32"/>
          <w:szCs w:val="32"/>
        </w:rPr>
        <w:t>，在严守空间安全底线、不突破国土空间总体规划确定的目标任务、不改变总体规划确定的空间结构和格局的前提下，对三条控制线、规划分区、用地规划布局、城市重要控制线等进行了正向优化调整，方案具有可行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sectPr>
      <w:footerReference r:id="rId10" w:type="default"/>
      <w:pgSz w:w="11906" w:h="16838"/>
      <w:pgMar w:top="1701" w:right="1474" w:bottom="1701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153AE8F-7E0D-418C-914F-75D5D806A9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0242041-F535-4DC1-8131-DDB6E5E7CAC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44088DE-FB24-4574-AA9F-7D5B6CDA551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0835959-EB45-44BB-A56A-A2F781A8759C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ABAE3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0C0EA3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AegHW0wAAAAYBAAAPAAAAAAAAAAEAIAAAACIAAABkcnMvZG93bnJldi54bWxQSwECFAAUAAAA&#10;CACHTuJAnroL+ywCAABVBAAADgAAAAAAAAABACAAAAAi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0C0EA3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49FAF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0BDCC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75DE7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IzXDnwqAgAAV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CLNmWdjqneUR&#10;Oirm7eoYIGCnaxSlV2LQCtPWdWZ4GXGc/9x3UY9/g+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AHoB1tMAAAAGAQAADwAAAAAAAAABACAAAAAiAAAAZHJzL2Rvd25yZXYueG1sUEsBAhQAFAAAAAgA&#10;h07iQIzXDnwqAgAAVQQAAA4AAAAAAAAAAQAgAAAAIg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75DE7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205BD">
    <w:pPr>
      <w:pStyle w:val="8"/>
      <w:jc w:val="right"/>
      <w:rPr>
        <w:rFonts w:hint="eastAsia" w:ascii="宋体" w:hAnsi="宋体" w:eastAsia="宋体" w:cs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AE2B6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B6AdbTAAAABgEAAA8AAAAAAAAAAQAgAAAAIgAAAGRycy9kb3ducmV2LnhtbFBLAQIU&#10;ABQAAAAIAIdO4kAkgka0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BAE2B6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8A247C2">
    <w:pPr>
      <w:pStyle w:val="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C618E"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C09B4D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B6AdbTAAAABgEAAA8AAAAAAAAAAQAgAAAAIgAAAGRycy9kb3ducmV2LnhtbFBLAQIUABQAAAAI&#10;AIdO4kBy0PJtKwIAAFUEAAAOAAAAAAAAAAEAIAAAACI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C09B4D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81F0B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C3E76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0BA0E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E127F3"/>
    <w:multiLevelType w:val="multilevel"/>
    <w:tmpl w:val="3DE127F3"/>
    <w:lvl w:ilvl="0" w:tentative="0">
      <w:start w:val="1"/>
      <w:numFmt w:val="decimal"/>
      <w:lvlText w:val="%1."/>
      <w:lvlJc w:val="left"/>
      <w:pPr>
        <w:ind w:left="1080" w:hanging="440"/>
      </w:pPr>
    </w:lvl>
    <w:lvl w:ilvl="1" w:tentative="0">
      <w:start w:val="1"/>
      <w:numFmt w:val="decimal"/>
      <w:pStyle w:val="25"/>
      <w:suff w:val="space"/>
      <w:lvlText w:val="%2."/>
      <w:lvlJc w:val="left"/>
      <w:pPr>
        <w:ind w:left="567" w:firstLine="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documentProtection w:enforcement="0"/>
  <w:defaultTabStop w:val="420"/>
  <w:drawingGridHorizontalSpacing w:val="158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83072"/>
    <w:rsid w:val="002235CA"/>
    <w:rsid w:val="005705ED"/>
    <w:rsid w:val="0072344E"/>
    <w:rsid w:val="00864519"/>
    <w:rsid w:val="00B20AC8"/>
    <w:rsid w:val="00B42B03"/>
    <w:rsid w:val="00C3722D"/>
    <w:rsid w:val="00F50CDF"/>
    <w:rsid w:val="0320472C"/>
    <w:rsid w:val="050301F1"/>
    <w:rsid w:val="07A860A7"/>
    <w:rsid w:val="091A3018"/>
    <w:rsid w:val="0C264442"/>
    <w:rsid w:val="0C2C79D1"/>
    <w:rsid w:val="0E6C4468"/>
    <w:rsid w:val="101C3B92"/>
    <w:rsid w:val="109A0BCE"/>
    <w:rsid w:val="125D52F5"/>
    <w:rsid w:val="12700144"/>
    <w:rsid w:val="14290F74"/>
    <w:rsid w:val="1461426A"/>
    <w:rsid w:val="15511513"/>
    <w:rsid w:val="15575BB5"/>
    <w:rsid w:val="19A74A64"/>
    <w:rsid w:val="1B7B3422"/>
    <w:rsid w:val="1BE55780"/>
    <w:rsid w:val="1FA870F1"/>
    <w:rsid w:val="1FFE3FF5"/>
    <w:rsid w:val="212229AC"/>
    <w:rsid w:val="213571AA"/>
    <w:rsid w:val="21817CF9"/>
    <w:rsid w:val="24563899"/>
    <w:rsid w:val="24E753F8"/>
    <w:rsid w:val="2875378A"/>
    <w:rsid w:val="28ED604E"/>
    <w:rsid w:val="28F039B6"/>
    <w:rsid w:val="2A527BC6"/>
    <w:rsid w:val="2CCE6529"/>
    <w:rsid w:val="316440D3"/>
    <w:rsid w:val="319A0963"/>
    <w:rsid w:val="33D64707"/>
    <w:rsid w:val="340521E2"/>
    <w:rsid w:val="3417273F"/>
    <w:rsid w:val="369C6124"/>
    <w:rsid w:val="38AC5B4C"/>
    <w:rsid w:val="391D0741"/>
    <w:rsid w:val="39C421D4"/>
    <w:rsid w:val="3B9003BC"/>
    <w:rsid w:val="3C6F136A"/>
    <w:rsid w:val="3CCF30D1"/>
    <w:rsid w:val="3D483072"/>
    <w:rsid w:val="3DCB6A74"/>
    <w:rsid w:val="3EF282D8"/>
    <w:rsid w:val="3F035D9A"/>
    <w:rsid w:val="401900E6"/>
    <w:rsid w:val="40782ACF"/>
    <w:rsid w:val="40FF1363"/>
    <w:rsid w:val="419B2421"/>
    <w:rsid w:val="42E020C7"/>
    <w:rsid w:val="43C867AC"/>
    <w:rsid w:val="47B265AF"/>
    <w:rsid w:val="4A364C3E"/>
    <w:rsid w:val="4B235826"/>
    <w:rsid w:val="4C4F3C66"/>
    <w:rsid w:val="4EC1D432"/>
    <w:rsid w:val="4ECF3EEA"/>
    <w:rsid w:val="4FDE7655"/>
    <w:rsid w:val="52A817E2"/>
    <w:rsid w:val="555148AC"/>
    <w:rsid w:val="557B1DED"/>
    <w:rsid w:val="55B1442E"/>
    <w:rsid w:val="55B726B1"/>
    <w:rsid w:val="56E46B61"/>
    <w:rsid w:val="580C3AB9"/>
    <w:rsid w:val="58836EC3"/>
    <w:rsid w:val="5CA442C0"/>
    <w:rsid w:val="5DD14279"/>
    <w:rsid w:val="5F1A6ABC"/>
    <w:rsid w:val="5F2922AC"/>
    <w:rsid w:val="5F471449"/>
    <w:rsid w:val="60AC022A"/>
    <w:rsid w:val="623E01DA"/>
    <w:rsid w:val="656D7323"/>
    <w:rsid w:val="68F95994"/>
    <w:rsid w:val="69766FE4"/>
    <w:rsid w:val="6A535578"/>
    <w:rsid w:val="6AE6019A"/>
    <w:rsid w:val="6B793DC3"/>
    <w:rsid w:val="6E174F53"/>
    <w:rsid w:val="6F6F4C02"/>
    <w:rsid w:val="6FD42CB7"/>
    <w:rsid w:val="70666005"/>
    <w:rsid w:val="71155335"/>
    <w:rsid w:val="72CDA509"/>
    <w:rsid w:val="73EB0AD3"/>
    <w:rsid w:val="76DB0DCF"/>
    <w:rsid w:val="78342545"/>
    <w:rsid w:val="7C002FED"/>
    <w:rsid w:val="8FF58A9D"/>
    <w:rsid w:val="AFABB020"/>
    <w:rsid w:val="B79D4837"/>
    <w:rsid w:val="BBFB9A39"/>
    <w:rsid w:val="BE8FCE0C"/>
    <w:rsid w:val="BFBE000F"/>
    <w:rsid w:val="C3F9CB77"/>
    <w:rsid w:val="F5CFBD6B"/>
    <w:rsid w:val="FFFD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ascii="Times New Roman" w:hAnsi="Times New Roman" w:eastAsia="黑体" w:cs="黑体"/>
      <w:b/>
      <w:bCs/>
      <w:kern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jc w:val="center"/>
      <w:outlineLvl w:val="1"/>
    </w:pPr>
    <w:rPr>
      <w:rFonts w:eastAsia="楷体_GB2312" w:cs="Times New Roman"/>
      <w:b/>
      <w:bCs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600" w:lineRule="exact"/>
      <w:outlineLvl w:val="2"/>
    </w:pPr>
    <w:rPr>
      <w:rFonts w:ascii="Times New Roman" w:hAnsi="Times New Roman" w:eastAsia="楷体_GB2312"/>
      <w:b/>
    </w:rPr>
  </w:style>
  <w:style w:type="paragraph" w:styleId="6">
    <w:name w:val="heading 4"/>
    <w:basedOn w:val="1"/>
    <w:next w:val="1"/>
    <w:unhideWhenUsed/>
    <w:qFormat/>
    <w:uiPriority w:val="0"/>
    <w:pPr>
      <w:spacing w:line="0" w:lineRule="atLeast"/>
      <w:jc w:val="center"/>
      <w:outlineLvl w:val="3"/>
    </w:pPr>
    <w:rPr>
      <w:rFonts w:hint="eastAsia" w:ascii="Times New Roman" w:hAnsi="Times New Roman" w:cs="Times New Roman"/>
      <w:b/>
      <w:bCs/>
      <w:kern w:val="0"/>
      <w:sz w:val="28"/>
    </w:rPr>
  </w:style>
  <w:style w:type="character" w:default="1" w:styleId="16">
    <w:name w:val="Default Paragraph Font"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jc w:val="left"/>
      <w:outlineLvl w:val="0"/>
    </w:pPr>
    <w:rPr>
      <w:rFonts w:ascii="楷体" w:hAnsi="楷体" w:eastAsia="楷体"/>
      <w:b/>
      <w:sz w:val="24"/>
      <w:szCs w:val="20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1"/>
    <w:next w:val="1"/>
    <w:uiPriority w:val="0"/>
  </w:style>
  <w:style w:type="paragraph" w:styleId="11">
    <w:name w:val="toc 2"/>
    <w:basedOn w:val="1"/>
    <w:next w:val="1"/>
    <w:uiPriority w:val="0"/>
    <w:pPr>
      <w:ind w:left="420" w:leftChars="200"/>
    </w:p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font112"/>
    <w:basedOn w:val="16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8">
    <w:name w:val="font41"/>
    <w:basedOn w:val="16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9">
    <w:name w:val="font5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101"/>
    <w:basedOn w:val="16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16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11"/>
    <w:basedOn w:val="16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character" w:customStyle="1" w:styleId="23">
    <w:name w:val="font21"/>
    <w:basedOn w:val="16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5">
    <w:name w:val="三级标题"/>
    <w:basedOn w:val="5"/>
    <w:qFormat/>
    <w:uiPriority w:val="0"/>
    <w:pPr>
      <w:keepNext w:val="0"/>
      <w:keepLines w:val="0"/>
      <w:numPr>
        <w:ilvl w:val="1"/>
        <w:numId w:val="1"/>
      </w:numPr>
      <w:adjustRightInd w:val="0"/>
      <w:snapToGrid w:val="0"/>
      <w:spacing w:before="31" w:after="31"/>
      <w:jc w:val="left"/>
    </w:pPr>
    <w:rPr>
      <w:rFonts w:eastAsia="楷体" w:cs="Times New Roman"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3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dab64305-e5fb-4514-b191-696183f48357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A687D22</paraID>
      <start>16</start>
      <end>17</end>
      <status>modified</status>
      <modifiedWord>—</modifiedWord>
      <trackRevisions>false</trackRevisions>
    </reviewItem>
    <reviewItem>
      <errorID>3a143e38-2146-4860-adc9-952913825e8e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65953234</paraID>
      <start>13</start>
      <end>14</end>
      <status>modified</status>
      <modifiedWord>）</modifiedWord>
      <trackRevisions>false</trackRevisions>
    </reviewItem>
    <reviewItem>
      <errorID>82abb5e5-a107-45f0-b6e3-7ae32bf0b820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2B5C93DB</paraID>
      <start>16</start>
      <end>17</end>
      <status>modified</status>
      <modifiedWord>—</modifiedWord>
      <trackRevisions>false</trackRevisions>
    </reviewItem>
    <reviewItem>
      <errorID>df3bc555-e800-4d2b-a43c-883ac981cb0c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19A0F421</paraID>
      <start>13</start>
      <end>14</end>
      <status>modified</status>
      <modifiedWord>）</modifiedWord>
      <trackRevisions>false</trackRevisions>
    </reviewItem>
    <reviewItem>
      <errorID>58310262-c125-46f5-8778-66d4d304baa1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6A55B5AC</paraID>
      <start>103</start>
      <end>104</end>
      <status>ignored</status>
      <modifiedWord/>
      <trackRevisions>false</trackRevisions>
    </reviewItem>
    <reviewItem>
      <errorID>d5d45ff7-ad6d-4c29-ae4a-8f792b6e0508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6A55B5AC</paraID>
      <start>106</start>
      <end>107</end>
      <status>modified</status>
      <modifiedWord>）</modifiedWord>
      <trackRevisions>false</trackRevisions>
    </reviewItem>
    <reviewItem>
      <errorID>f94f46e6-6ee1-4f6a-a2b3-ad8785a14a86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6A55B5AC</paraID>
      <start>111</start>
      <end>112</end>
      <status>modified</status>
      <modifiedWord>（</modifiedWord>
      <trackRevisions>false</trackRevisions>
    </reviewItem>
    <reviewItem>
      <errorID>a5a69a51-5ea9-4092-9dfd-25b967822909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6A55B5AC</paraID>
      <start>125</start>
      <end>126</end>
      <status>modified</status>
      <modifiedWord>）</modifiedWord>
      <trackRevisions>false</trackRevisions>
    </reviewItem>
    <reviewItem>
      <errorID>0736c2ff-bdaa-48ac-bee3-301cbb21c54e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6A55B5AC</paraID>
      <start>151</start>
      <end>152</end>
      <status>modified</status>
      <modifiedWord>—</modifiedWord>
      <trackRevisions>false</trackRevisions>
    </reviewItem>
    <reviewItem>
      <errorID>2af45b50-4bb0-48be-8f3c-1d210e13bb73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6A55B5AC</paraID>
      <start>171</start>
      <end>172</end>
      <status>modified</status>
      <modifiedWord>）</modifiedWord>
      <trackRevisions>false</trackRevisions>
    </reviewItem>
    <reviewItem>
      <errorID>548c591a-5997-4f10-ae4c-72a268718ee7</errorID>
      <errorWord>新增建设用地总量控制</errorWord>
      <group>L1_Political</group>
      <groupName>政治性问题</groupName>
      <ability>L2_Keyword</ability>
      <abilityName>固定表述</abilityName>
      <candidateList>
        <item>新增建设用地规模控制</item>
      </candidateList>
      <explain>词汇“新增建设用地规模控制”在特定场景下为固定表述形式，请确认此处的“新增建设用地总量控制”是否存在不当。</explain>
      <paraID>3B37EB26</paraID>
      <start>9</start>
      <end>19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704D0B-C051-4BBC-A3EE-770858B02846}">
  <ds:schemaRefs/>
</ds:datastoreItem>
</file>

<file path=customXml/itemProps3.xml><?xml version="1.0" encoding="utf-8"?>
<ds:datastoreItem xmlns:ds="http://schemas.openxmlformats.org/officeDocument/2006/customXml" ds:itemID="{65737d51-9c54-4d29-b8fc-63fcd894a4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2671</Words>
  <Characters>2773</Characters>
  <Lines>92</Lines>
  <Paragraphs>54</Paragraphs>
  <TotalTime>20</TotalTime>
  <ScaleCrop>false</ScaleCrop>
  <LinksUpToDate>false</LinksUpToDate>
  <CharactersWithSpaces>2800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2026-02-03T20:29:00Z</dcterms:created>
  <dc:creator>二哥</dc:creator>
  <cp:lastModifiedBy>徐亚彩</cp:lastModifiedBy>
  <cp:lastPrinted>2026-02-05T14:21:00Z</cp:lastPrinted>
  <dcterms:modified xsi:type="dcterms:W3CDTF">2026-04-17T00:50:36Z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283E97BDBA8941E7993735F7A86DDB6E_13</vt:lpwstr>
  </property>
  <property fmtid="{D5CDD505-2E9C-101B-9397-08002B2CF9AE}" pid="4" name="KSOTemplateDocerSaveRecord">
    <vt:lpwstr>eyJoZGlkIjoiNjhiZDcwZGQ5ZTgwOTZmNzJiY2UzMTIxM2I4ZGNiYmEiLCJ1c2VySWQiOiIzOTcwODI3NDgifQ==</vt:lpwstr>
  </property>
</Properties>
</file>